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يونيو 2026 انخفضت أسعار الاستهلاك على المستوى الوطني بنسبة (0.4’% ) خلال شهر واحد في حين ارتفعت أسعار الاستهلاك بما يقارب (0.3%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0.8’% في شهر يونيو 2026 مقارنة بشهر ماي .2026 ويعزى ذلك الى انخفاض أثمان .</w:t>
      </w:r>
      <w:r>
        <w:rPr>
          <w:b/>
          <w:bCs/>
        </w:rPr>
        <w:t xml:space="preserve">الخضراوات</w:t>
      </w:r>
      <w:r>
        <w:t xml:space="preserve">ب5,2%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ب0,4%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ب0,3% ‏ و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ب0,1%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ب1,0%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ب0,1%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-2.3%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ب23,3%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ب1,6%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ب0,5%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ب6,7%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ب2,3%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ب1,5%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ب0,8%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 </w:t>
      </w:r>
      <w:r>
        <w:t xml:space="preserve">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2.3 %،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ب0,3%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ب6,7%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../../Rapports_mensuels/Mois2026_06/Graphique_variation_annuelle2026_06_Ville99_ar.png</w:t>
      </w:r>
    </w:p>
    <w:p>
      <w:pPr>
        <w:pStyle w:val="ipccorps"/>
      </w:pPr>
      <w:r>
        <w:t xml:space="preserve">في يونيو 2026 ارتفع الرقم الاستدلالي للأثمان عند الاستهلاك</w:t>
      </w:r>
      <w:r>
        <w:t xml:space="preserve"> </w:t>
      </w:r>
      <w:r>
        <w:t xml:space="preserve">ب 0.3 % مقارنة بشهر يونيو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../../Rapports_mensuels/Mois2026_06/Graphique_variation_mensuelle2026_06_Ville99_ar.png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0.4 % مقارنة بشهر ماي 2026</w:t>
      </w:r>
    </w:p>
    <w:p>
      <w:pPr>
        <w:pStyle w:val="ipcpara0"/>
      </w:pPr>
      <w:r>
        <w:t xml:space="preserve">الرقم الاستدلالي للأثمان عند الاستهلاك لمدينة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2026-10-12T12:11:49Z</dcterms:created>
  <dcterms:modified xsi:type="dcterms:W3CDTF">2026-10-12T12:11:49Z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