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فبراير 2026 ارتفعت أسعار الاستهلاك على المستوى الوطني بنسبة (0.7% ) خلال شهر واحد في حين انخفضت أسعار الاستهلاك بما يقارب (0.2’%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1.1%</w:t>
      </w:r>
      <w:r>
        <w:t xml:space="preserve"> </w:t>
      </w:r>
      <w:r>
        <w:t xml:space="preserve">في شهر فبراير 2026 مقارنة بشهر يناير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ب7.8%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ب4.5%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ب3.3%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ب0.1%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(0.2% ) جراء زيادة أثمان الأقسام التالية: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ب1% ‏ و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ب0.4%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-0.4%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ب23.6%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ب5.1%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ب2.1%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خدمات تقديم الطعام</w:t>
      </w:r>
      <w:r>
        <w:t xml:space="preserve">ب1.9%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ب18.6%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ب11.8%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ب8.4%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ب4.7%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ب2.1%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ب0.5%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كما سجل التغير السنوي لمؤشر المواد غير الغذائية انخفاضا ب 0.1’%، نتيجة التباين بين أقسامه حيث انخفض قسم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ب5.6%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ب3.6%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في فبراير 2026 انخفض الرقم الاستدلالي للأثمان عند الاستهلاك</w:t>
      </w:r>
      <w:r>
        <w:t xml:space="preserve"> </w:t>
      </w:r>
      <w:r>
        <w:t xml:space="preserve">0.2’% مقارنة بشهر فبراير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فبراير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في فبراير 2026 ارتفع الرقم الاستدلالي للأثمان عند الاستهلاك</w:t>
      </w:r>
      <w:r>
        <w:t xml:space="preserve"> </w:t>
      </w:r>
      <w:r>
        <w:t xml:space="preserve">ب 0.7 % مقارنة بشهر يناير 2026</w:t>
      </w:r>
    </w:p>
    <w:p>
      <w:pPr>
        <w:pStyle w:val="ipcpara0"/>
      </w:pPr>
      <w:r>
        <w:t xml:space="preserve">جدول 2: الرقم الاستدلالي للأثمان عند الاستهلاك لمدينة الحسيمة فبراير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فبراير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يناير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دجنبر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نونبر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فبراير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2026-06-15T15:11:14Z</dcterms:created>
  <dcterms:modified xsi:type="dcterms:W3CDTF">2026-06-15T15:11:14Z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