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فبراير 2026 ارتفعت أسعار الاستهلاك على المستوى الوطني بنسبة (0.5% ) خلال شهر واحد في حين انخفضت أسعار الاستهلاك بما يقارب (0.6’%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0.9%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ب4.5%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ب1.6%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ب0.4%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ب0.3%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(0.3%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ب1.1%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ب1% ‏ 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ب0.1%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ب22.9%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ب6.5%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ب1.6%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ب1.1%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ب0.3%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ب15.8%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ب11.8%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ب5.2%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ب3.8%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0.4 %،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ب2.7%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ب3.8%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انخفض الرقم الاستدلالي للأثمان عند الاستهلاك</w:t>
      </w:r>
      <w:r>
        <w:t xml:space="preserve"> </w:t>
      </w:r>
      <w:r>
        <w:t xml:space="preserve">0.6’% مقارنة بشهر فبراير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ارتفع الرقم الاستدلالي للأثمان عند الاستهلاك</w:t>
      </w:r>
      <w:r>
        <w:t xml:space="preserve"> </w:t>
      </w:r>
      <w:r>
        <w:t xml:space="preserve">ب 0.5 % مقارنة بشهر يناير 2026</w:t>
      </w:r>
    </w:p>
    <w:p>
      <w:pPr>
        <w:pStyle w:val="ipcpara0"/>
      </w:pPr>
      <w:r>
        <w:t xml:space="preserve">الرقم الاستدلالي للأثمان عند الاستهلاك لمدينة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2026-06-15T15:11:46Z</dcterms:created>
  <dcterms:modified xsi:type="dcterms:W3CDTF">2026-06-15T15:11:46Z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