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March 2026, the national consumer price index increased by 1% compared to the previous month, while the consumer price index increased by 2.2% over a full year.</w:t>
      </w:r>
    </w:p>
    <w:p>
      <w:pPr>
        <w:pStyle w:val="ipccorps"/>
      </w:pPr>
      <w:r>
        <w:t xml:space="preserve">The consumer price index experienced an increase of 1.4% during the month of March 2026 compared to the previous month. as a result of the rise in prices of «Vegetables» by 7.7%, «Meat» by 4.6% and «Fruits» by 1.6%</w:t>
      </w:r>
    </w:p>
    <w:p>
      <w:pPr>
        <w:pStyle w:val="ipccorps"/>
      </w:pPr>
      <w:r>
        <w:t xml:space="preserve">Similarly, the monthly variation in the non-food index increased by 0.6% due to price increases in the following divisions: «Transportation» by 5.1% and «Clothing and Shoes» by 0.7%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2.8% in March 2026 compared to March 2025 , due to the rise in the prices of «Vegetables» by 14.3%, «Fish and Seafood» by 9.5%, «Meat» by 7.1%, «Fruits» by 6.2%, «Cafe and Tea and Cocoa» by 4.6%, «Tobacco» by 3.7%, «Sugar, Jam, Honey and Chocolate and Confectionery» by 0.9%, «Milk and Cheese and Eggs» by 0.4% and «Mineral Waters, Soft Drinks and Fruit and Vegetable Juices (Nd)» by 0.2%. Moreover, the decrease in prices of «Oils and Fats» by 15.1%, «Bread and Cereals» and «Catering Services» by 0.7% and «Food Products N.C.A.» by 0.4%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1.6%. While the variation in prices of the divisions that make up non-food products fluctuated between a decrease of the division of «Communications» by 1% and the rise of the division of «Education» by 10.9%</w:t>
      </w:r>
    </w:p>
    <w:p>
      <w:pPr>
        <w:pStyle w:val="ipctitre0"/>
      </w:pPr>
      <w:r>
        <w:t xml:space="preserve">5- 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2.2% compared to March 2025</w:t>
      </w:r>
    </w:p>
    <w:p>
      <w:pPr>
        <w:pStyle w:val="ipctitre0"/>
      </w:pPr>
      <w:r>
        <w:t xml:space="preserve">6- 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1% compared to February 2026</w:t>
      </w:r>
    </w:p>
    <w:p>
      <w:pPr>
        <w:pStyle w:val="ipcpara0"/>
      </w:pPr>
      <w:r>
        <w:t xml:space="preserve">Table 3: Consumer price index for the city of Tétouan: March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2026-06-15T15:12:28Z</dcterms:created>
  <dcterms:modified xsi:type="dcterms:W3CDTF">2026-06-15T15:12:28Z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