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</w:t>
      </w:r>
    </w:p>
    <w:p>
      <w:pPr>
        <w:pStyle w:val="ipcpara0"/>
      </w:pPr>
      <w:r>
        <w:t xml:space="preserve">في شهر مارس 2026 ارتفعت أسعار الاستهلاك على المستوى الوطني بنسبة (1.2% ) خلال شهر واحد في حين ارتفعت أسعار الاستهلاك بما يقارب (0.9%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</w:t>
      </w:r>
      <w:r>
        <w:t xml:space="preserve"> </w:t>
      </w:r>
      <w:r>
        <w:t xml:space="preserve">1.8%</w:t>
      </w:r>
      <w:r>
        <w:t xml:space="preserve"> </w:t>
      </w:r>
      <w:r>
        <w:t xml:space="preserve">في شهر مارس 2026 مقارنة بشهر فبراير .2026 ويعزى ذلك الى زيادة أثمان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ب9.7%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ب2.6%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ب2.4%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ب1.3%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ب0.3%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ب0.1% ‏</w:t>
      </w:r>
    </w:p>
    <w:p>
      <w:pPr>
        <w:pStyle w:val="ipccorps"/>
      </w:pPr>
      <w:r>
        <w:t xml:space="preserve">كما، ارتفع التغير الشهري للرقم الاستدلالي للمواد غير الغذائية ب (0.6% ) جراء زيادة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ب3% ‏،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ب0.5% ‏،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ب0.2% ‏ و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ب0.1%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0.6%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ب17.6%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ب16.8%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ب5.5%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ب3.8%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ب3.2%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ب0.5%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ب0.4% ‏ 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ب0.3%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ب23.7%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ب1%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ب0.9%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ب0.7%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1.1 %،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ب0.4%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ب3.5% ‏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مارس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مارس 2026 ارتفع الرقم الاستدلالي للأثمان عند الاستهلاك</w:t>
      </w:r>
      <w:r>
        <w:t xml:space="preserve"> </w:t>
      </w:r>
      <w:r>
        <w:t xml:space="preserve">ب 0.9 % مقارنة بشهر مارس 2025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مارس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مارس 2026 ارتفع الرقم الاستدلالي للأثمان عند الاستهلاك</w:t>
      </w:r>
      <w:r>
        <w:t xml:space="preserve"> </w:t>
      </w:r>
      <w:r>
        <w:t xml:space="preserve">ب 1.2 % مقارنة بشهر فبراير 2026</w:t>
      </w:r>
    </w:p>
    <w:p>
      <w:pPr>
        <w:pStyle w:val="ipcpara0"/>
      </w:pPr>
      <w:r>
        <w:t xml:space="preserve">الرقم الاستدلالي للأثمان عند الاستهلاك لمدينة مارس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2026-06-15T15:13:50Z</dcterms:created>
  <dcterms:modified xsi:type="dcterms:W3CDTF">2026-06-15T15:13:50Z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