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مذكرة اخبارية للمديرية الجهوية لجهة طنجة تطوان الحسيمة</w:t>
      </w:r>
    </w:p>
    <w:p>
      <w:pPr>
        <w:pStyle w:val="ipctitre0"/>
      </w:pPr>
      <w:r>
        <w:t xml:space="preserve">الرقم الاستدلالي للأثمان عند الاستهلاك أساس : (2017 :100)</w:t>
      </w:r>
      <w:r>
        <w:t xml:space="preserve"> </w:t>
      </w:r>
      <w:r>
        <w:t xml:space="preserve">لمدينة طنجة</w:t>
      </w:r>
    </w:p>
    <w:p>
      <w:pPr>
        <w:pStyle w:val="ipcpara0"/>
      </w:pPr>
      <w:r>
        <w:t xml:space="preserve">في شهر ابريل 2026 ارتفعت أسعار الاستهلاك على المستوى الوطني بنسبة (0.2% ) خلال شهر واحد في حين ارتفعت أسعار الاستهلاك بما يقارب (1.8% ) خلال سنة كاملة.</w:t>
      </w:r>
    </w:p>
    <w:p>
      <w:pPr>
        <w:pStyle w:val="ipccorps"/>
      </w:pPr>
      <w:r>
        <w:t xml:space="preserve">على المستوى الشهري انخفض الرقم الاستدلالي للمواد الغذائية ب 1’% في شهر ابريل 2026 مقارنة بشهر مارس .2026 ويعزى ذلك الى انخفاض أثمان .</w:t>
      </w:r>
      <w:r>
        <w:rPr>
          <w:b/>
          <w:bCs/>
        </w:rPr>
        <w:t xml:space="preserve">الأسماك والمأكولات البحرية</w:t>
      </w:r>
      <w:r>
        <w:t xml:space="preserve">ب11.3% ‏،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ب4.1%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ب3.6% ‏ و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ب1.7% ‏</w:t>
      </w:r>
    </w:p>
    <w:p>
      <w:pPr>
        <w:pStyle w:val="ipccorps"/>
      </w:pPr>
      <w:r>
        <w:t xml:space="preserve">في حين، ارتفع التغير الشهري للرقم الاستدلالي للمواد غير الغذائية ب (1.1% ) جراء زيادة أثمان الأقسام التالية: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ب6.1% ‏،</w:t>
      </w:r>
      <w:r>
        <w:t xml:space="preserve"> </w:t>
      </w:r>
      <w:r>
        <w:rPr>
          <w:b/>
          <w:bCs/>
        </w:rPr>
        <w:t xml:space="preserve">المطاعم والفنادق</w:t>
      </w:r>
      <w:r>
        <w:t xml:space="preserve">ب0.9% ‏،</w:t>
      </w:r>
      <w:r>
        <w:t xml:space="preserve"> </w:t>
      </w:r>
      <w:r>
        <w:rPr>
          <w:b/>
          <w:bCs/>
        </w:rPr>
        <w:t xml:space="preserve">سلع وخدمات متنوعة</w:t>
      </w:r>
      <w:r>
        <w:t xml:space="preserve">ب0.7% ‏،</w:t>
      </w:r>
      <w:r>
        <w:t xml:space="preserve"> </w:t>
      </w:r>
      <w:r>
        <w:rPr>
          <w:b/>
          <w:bCs/>
        </w:rPr>
        <w:t xml:space="preserve">الترفيه والثقافة</w:t>
      </w:r>
      <w:r>
        <w:t xml:space="preserve">ب0.5% ‏ و</w:t>
      </w:r>
      <w:r>
        <w:t xml:space="preserve"> </w:t>
      </w:r>
      <w:r>
        <w:rPr>
          <w:b/>
          <w:bCs/>
        </w:rPr>
        <w:t xml:space="preserve">الأثاث والأدوات المنزلية والصيانة المنزلية الروتينية</w:t>
      </w:r>
      <w:r>
        <w:t xml:space="preserve">ب0.1% ‏ .</w:t>
      </w:r>
    </w:p>
    <w:p>
      <w:pPr>
        <w:pStyle w:val="ipccorps"/>
      </w:pPr>
      <w:r>
        <w:rPr>
          <w:b/>
          <w:bCs/>
        </w:rPr>
        <w:t xml:space="preserve">على المستوى السنوي،</w:t>
      </w:r>
      <w:r>
        <w:t xml:space="preserve">ارتفع الرقم الاستدلالي للمواد الغذائية</w:t>
      </w:r>
      <w:r>
        <w:t xml:space="preserve"> </w:t>
      </w:r>
      <w:r>
        <w:t xml:space="preserve">ب 0.2% في نونبر 2025 مقارنة بنظيره من السنة الماضية،ويعزى ذلك إلى زيادة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ب10%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ب6.9% ‏،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ب4.7%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ب4%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ب3.6%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ب1%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خدمات تقديم الطعام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ب0.9% ‏ و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ب0.4% ‏. وعلى الرغم من الانخفاضات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ب21.2% ‏،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ب0.7% ‏ و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ب0.2% ‏ و كذا</w:t>
      </w:r>
      <w:r>
        <w:t xml:space="preserve"> </w:t>
      </w:r>
      <w:r>
        <w:t xml:space="preserve">استقرار أثمان NA فإن ذلك لم يؤثر على التطور</w:t>
      </w:r>
      <w:r>
        <w:t xml:space="preserve"> </w:t>
      </w:r>
      <w:r>
        <w:t xml:space="preserve">العام.</w:t>
      </w:r>
    </w:p>
    <w:p>
      <w:pPr>
        <w:pStyle w:val="ipccorps"/>
      </w:pPr>
      <w:r>
        <w:t xml:space="preserve">كما سجل التغير السنوي لمؤشر المواد غير الغذائية ارتفاعا ب 2.9 %، نتيجة التباين بين أقسامه حيث انخفض قسم</w:t>
      </w:r>
      <w:r>
        <w:t xml:space="preserve"> </w:t>
      </w:r>
      <w:r>
        <w:rPr>
          <w:b/>
          <w:bCs/>
        </w:rPr>
        <w:t xml:space="preserve">الاتصالات</w:t>
      </w:r>
      <w:r>
        <w:t xml:space="preserve">ب1.5% ‏ بينما ارتفع</w:t>
      </w:r>
      <w:r>
        <w:t xml:space="preserve"> </w:t>
      </w:r>
      <w:r>
        <w:rPr>
          <w:b/>
          <w:bCs/>
        </w:rPr>
        <w:t xml:space="preserve">سلع وخدمات متنوعة</w:t>
      </w:r>
      <w:r>
        <w:t xml:space="preserve">ب11.7% ‏</w:t>
      </w:r>
    </w:p>
    <w:p>
      <w:pPr>
        <w:pStyle w:val="ipctitre0"/>
      </w:pPr>
      <w:r>
        <w:t xml:space="preserve">1- تطور معدل التغير السنوي (%) للرقم الاستدلالي للأثمان عند الاستهلاك لشهر ابريل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في ابريل 2026 ارتفع الرقم الاستدلالي للأثمان عند الاستهلاك</w:t>
      </w:r>
      <w:r>
        <w:t xml:space="preserve"> </w:t>
      </w:r>
      <w:r>
        <w:t xml:space="preserve">ب 1.8 % مقارنة بشهر ابريل 2025</w:t>
      </w:r>
    </w:p>
    <w:p>
      <w:pPr>
        <w:pStyle w:val="ipctitre0"/>
      </w:pPr>
      <w:r>
        <w:t xml:space="preserve">2- تطور معدل التغير السنوي (%) للرقم الاستدلالي للأثمان عند الاستهلاك لشهر ابريل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في ابريل 2026 ارتفع الرقم الاستدلالي للأثمان عند الاستهلاك</w:t>
      </w:r>
      <w:r>
        <w:t xml:space="preserve"> </w:t>
      </w:r>
      <w:r>
        <w:t xml:space="preserve">ب 0.2 % مقارنة بشهر مارس 2026</w:t>
      </w:r>
    </w:p>
    <w:p>
      <w:pPr>
        <w:pStyle w:val="ipcpara0"/>
      </w:pPr>
      <w:r>
        <w:t xml:space="preserve">جدول 4: الرقم الاستدلالي للأثمان عند الاستهلاك لمدينة طنجة ابريل :2026 (أساس 2017:100)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850"/>
        <w:gridCol w:w="3402"/>
      </w:tblGrid>
      <w:tr>
        <w:trPr>
          <w:trHeight w:val="507" w:hRule="auto"/>
          <w:tblHeader/>
        </w:trPr>
        header 1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التغير (%) منذ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لشهر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الترجيحات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أقسام المواد</w:t>
            </w:r>
          </w:p>
        </w:tc>
      </w:tr>
      <w:tr>
        <w:trPr>
          <w:trHeight w:val="50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شهرا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3أشهر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شهر واحد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ابريل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مارس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فبراير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يناير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ابريل 2025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36,115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الغذائية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34,708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01- المواد الغذائية والمشروبات غير الكحولية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145,4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02- المشروبات الكحولية والتبغ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63,885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غير الغذائية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6,449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الملابس والأحذية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16,656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السكن والماء والكهرباء والغاز ومحروقات أخرى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108,9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الأثاث والأدوات المنزلية والصيانة العادية للمنزل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8,218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06 - الصحة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9,751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07 - النقل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08 - المواصلات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الترفيه والثقافة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10 - التعليم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مطاعم وفنادق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6,835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مواد وخدمات أخرى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العام</w:t>
            </w:r>
          </w:p>
        </w:tc>
      </w:tr>
    </w:tbl>
    <w:p>
      <w:pPr>
        <w:pStyle w:val="ipcpara0"/>
      </w:pPr>
      <w:r>
        <w:t xml:space="preserve">المندوبية السامية للتخطيط، مديرية الإحصاء -البحث الوطني حول الأثمان عند الاستهلاك</w:t>
      </w:r>
    </w:p>
    <w:sectPr w:rsidR="00742A1F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742A1F" w:rsidP="000707FF">
    <w:pPr>
      <w:pStyle w:val="En-tte"/>
    </w:pPr>
    <w:r w:rsidRPr="00742A1F">
      <w:rPr>
        <w:noProof/>
        <w:sz w:val="20"/>
      </w:rPr>
    </w:r>
    <w:r w:rsidRPr="00742A1F">
      <w:rPr>
        <w:noProof/>
        <w:sz w:val="20"/>
      </w:rPr>
      <w:pict>
        <v:group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7" type="#_x0000_t75" style="position:absolute;left:23729;top:754;width:16903;height:79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<v:imagedata r:id="rId1" o:title=""/>
          </v:shape>
          <v:shape id="Image 3" o:spid="_x0000_s1028" type="#_x0000_t75" style="position:absolute;width:63055;height:10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<v:imagedata r:id="rId2" o:title="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000A990"/>
    <w:multiLevelType w:val="multilevel"/>
    <w:tmpl w:val="3C9EE29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8" v:ext="edit"/>
    <o:shapelayout v:ext="edit">
      <o:idmap data="1" v:ext="edit"/>
    </o:shapelayout>
  </w:hdrShapeDefaults>
  <w:compat/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3F131F"/>
    <w:rsid w:val="0052338E"/>
    <w:rsid w:val="006734DB"/>
    <w:rsid w:val="00742A1F"/>
    <w:rsid w:val="00790CDD"/>
    <w:rsid w:val="007A0D96"/>
    <w:rsid w:val="007C4EC7"/>
    <w:rsid w:val="008868E3"/>
    <w:rsid w:val="009010EA"/>
    <w:rsid w:val="009110DF"/>
    <w:rsid w:val="00956E03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42A1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Ind w:type="dxa" w:w="0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ipctitre0" w:type="paragraph">
    <w:name w:val="ipc_titre_0"/>
    <w:link w:val="ipctitre0Car"/>
    <w:qFormat/>
    <w:rsid w:val="00A77669"/>
    <w:rPr>
      <w:rFonts w:ascii="Times New Roman" w:cs="Times New Roman" w:hAnsi="Times New Roman"/>
      <w:b/>
      <w:bCs/>
      <w:color w:val="CA400A"/>
      <w:spacing w:val="13"/>
      <w:sz w:val="32"/>
      <w:lang w:bidi="ar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cs="Times New Roman" w:hAnsi="Times New Roman"/>
      <w:bCs/>
      <w:spacing w:val="13"/>
      <w:sz w:val="21"/>
      <w:szCs w:val="24"/>
      <w:lang w:bidi="ar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eastAsia="Times New Roman"/>
      <w:b/>
      <w:color w:val="8D4354"/>
      <w:spacing w:val="0"/>
      <w:kern w:val="0"/>
      <w:sz w:val="24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</w:rPr>
  </w:style>
  <w:style w:customStyle="1" w:styleId="PlainTab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SourceCode" w:type="paragraph">
    <w:name w:val="Source Code"/>
    <w:basedOn w:val="Normal"/>
    <w:rsid w:val="00742A1F"/>
    <w:pPr>
      <w:shd w:color="auto" w:fill="F1F3F5" w:val="clear"/>
      <w:wordWrap w:val="0"/>
    </w:pPr>
  </w:style>
  <w:style w:customStyle="1" w:styleId="KeywordTok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" w:type="character">
    <w:name w:val="DataTypeTok"/>
    <w:rsid w:val="00742A1F"/>
    <w:rPr>
      <w:color w:val="AD0000"/>
      <w:shd w:color="auto" w:fill="F1F3F5" w:val="clear"/>
    </w:rPr>
  </w:style>
  <w:style w:customStyle="1" w:styleId="DecValTok" w:type="character">
    <w:name w:val="DecValTok"/>
    <w:rsid w:val="00742A1F"/>
    <w:rPr>
      <w:color w:val="AD0000"/>
      <w:shd w:color="auto" w:fill="F1F3F5" w:val="clear"/>
    </w:rPr>
  </w:style>
  <w:style w:customStyle="1" w:styleId="BaseNTok" w:type="character">
    <w:name w:val="BaseNTok"/>
    <w:rsid w:val="00742A1F"/>
    <w:rPr>
      <w:color w:val="AD0000"/>
      <w:shd w:color="auto" w:fill="F1F3F5" w:val="clear"/>
    </w:rPr>
  </w:style>
  <w:style w:customStyle="1" w:styleId="FloatTok" w:type="character">
    <w:name w:val="FloatTok"/>
    <w:rsid w:val="00742A1F"/>
    <w:rPr>
      <w:color w:val="AD0000"/>
      <w:shd w:color="auto" w:fill="F1F3F5" w:val="clear"/>
    </w:rPr>
  </w:style>
  <w:style w:customStyle="1" w:styleId="ConstantTok" w:type="character">
    <w:name w:val="ConstantTok"/>
    <w:rsid w:val="00742A1F"/>
    <w:rPr>
      <w:color w:val="8F5902"/>
      <w:shd w:color="auto" w:fill="F1F3F5" w:val="clear"/>
    </w:rPr>
  </w:style>
  <w:style w:customStyle="1" w:styleId="CharTok" w:type="character">
    <w:name w:val="CharTok"/>
    <w:rsid w:val="00742A1F"/>
    <w:rPr>
      <w:color w:val="20794D"/>
      <w:shd w:color="auto" w:fill="F1F3F5" w:val="clear"/>
    </w:rPr>
  </w:style>
  <w:style w:customStyle="1" w:styleId="SpecialCharTok" w:type="character">
    <w:name w:val="SpecialCharTok"/>
    <w:rsid w:val="00742A1F"/>
    <w:rPr>
      <w:color w:val="5E5E5E"/>
      <w:shd w:color="auto" w:fill="F1F3F5" w:val="clear"/>
    </w:rPr>
  </w:style>
  <w:style w:customStyle="1" w:styleId="StringTok" w:type="character">
    <w:name w:val="StringTok"/>
    <w:rsid w:val="00742A1F"/>
    <w:rPr>
      <w:color w:val="20794D"/>
      <w:shd w:color="auto" w:fill="F1F3F5" w:val="clear"/>
    </w:rPr>
  </w:style>
  <w:style w:customStyle="1" w:styleId="VerbatimStringTok" w:type="character">
    <w:name w:val="VerbatimStringTok"/>
    <w:rsid w:val="00742A1F"/>
    <w:rPr>
      <w:color w:val="20794D"/>
      <w:shd w:color="auto" w:fill="F1F3F5" w:val="clear"/>
    </w:rPr>
  </w:style>
  <w:style w:customStyle="1" w:styleId="SpecialStringTok" w:type="character">
    <w:name w:val="SpecialStringTok"/>
    <w:rsid w:val="00742A1F"/>
    <w:rPr>
      <w:color w:val="20794D"/>
      <w:shd w:color="auto" w:fill="F1F3F5" w:val="clear"/>
    </w:rPr>
  </w:style>
  <w:style w:customStyle="1" w:styleId="ImportTok" w:type="character">
    <w:name w:val="ImportTok"/>
    <w:rsid w:val="00742A1F"/>
    <w:rPr>
      <w:color w:val="00769E"/>
      <w:shd w:color="auto" w:fill="F1F3F5" w:val="clear"/>
    </w:rPr>
  </w:style>
  <w:style w:customStyle="1" w:styleId="CommentTok" w:type="character">
    <w:name w:val="CommentTok"/>
    <w:rsid w:val="00742A1F"/>
    <w:rPr>
      <w:color w:val="5E5E5E"/>
      <w:shd w:color="auto" w:fill="F1F3F5" w:val="clear"/>
    </w:rPr>
  </w:style>
  <w:style w:customStyle="1" w:styleId="DocumentationTok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" w:type="character">
    <w:name w:val="AnnotationTok"/>
    <w:rsid w:val="00742A1F"/>
    <w:rPr>
      <w:color w:val="5E5E5E"/>
      <w:shd w:color="auto" w:fill="F1F3F5" w:val="clear"/>
    </w:rPr>
  </w:style>
  <w:style w:customStyle="1" w:styleId="CommentVarTok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" w:type="character">
    <w:name w:val="OtherTok"/>
    <w:rsid w:val="00742A1F"/>
    <w:rPr>
      <w:color w:val="003B4F"/>
      <w:shd w:color="auto" w:fill="F1F3F5" w:val="clear"/>
    </w:rPr>
  </w:style>
  <w:style w:customStyle="1" w:styleId="FunctionTok" w:type="character">
    <w:name w:val="FunctionTok"/>
    <w:rsid w:val="00742A1F"/>
    <w:rPr>
      <w:color w:val="4758AB"/>
      <w:shd w:color="auto" w:fill="F1F3F5" w:val="clear"/>
    </w:rPr>
  </w:style>
  <w:style w:customStyle="1" w:styleId="VariableTok" w:type="character">
    <w:name w:val="VariableTok"/>
    <w:rsid w:val="00742A1F"/>
    <w:rPr>
      <w:color w:val="111111"/>
      <w:shd w:color="auto" w:fill="F1F3F5" w:val="clear"/>
    </w:rPr>
  </w:style>
  <w:style w:customStyle="1" w:styleId="ControlFlowTok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" w:type="character">
    <w:name w:val="OperatorTok"/>
    <w:rsid w:val="00742A1F"/>
    <w:rPr>
      <w:color w:val="5E5E5E"/>
      <w:shd w:color="auto" w:fill="F1F3F5" w:val="clear"/>
    </w:rPr>
  </w:style>
  <w:style w:customStyle="1" w:styleId="BuiltInTok" w:type="character">
    <w:name w:val="BuiltInTok"/>
    <w:rsid w:val="00742A1F"/>
    <w:rPr>
      <w:color w:val="003B4F"/>
      <w:shd w:color="auto" w:fill="F1F3F5" w:val="clear"/>
    </w:rPr>
  </w:style>
  <w:style w:customStyle="1" w:styleId="ExtensionTok" w:type="character">
    <w:name w:val="ExtensionTok"/>
    <w:rsid w:val="00742A1F"/>
    <w:rPr>
      <w:color w:val="003B4F"/>
      <w:shd w:color="auto" w:fill="F1F3F5" w:val="clear"/>
    </w:rPr>
  </w:style>
  <w:style w:customStyle="1" w:styleId="PreprocessorTok" w:type="character">
    <w:name w:val="PreprocessorTok"/>
    <w:rsid w:val="00742A1F"/>
    <w:rPr>
      <w:color w:val="AD0000"/>
      <w:shd w:color="auto" w:fill="F1F3F5" w:val="clear"/>
    </w:rPr>
  </w:style>
  <w:style w:customStyle="1" w:styleId="AttributeTok" w:type="character">
    <w:name w:val="AttributeTok"/>
    <w:rsid w:val="00742A1F"/>
    <w:rPr>
      <w:color w:val="657422"/>
      <w:shd w:color="auto" w:fill="F1F3F5" w:val="clear"/>
    </w:rPr>
  </w:style>
  <w:style w:customStyle="1" w:styleId="RegionMarkerTok" w:type="character">
    <w:name w:val="RegionMarkerTok"/>
    <w:rsid w:val="00742A1F"/>
    <w:rPr>
      <w:color w:val="003B4F"/>
      <w:shd w:color="auto" w:fill="F1F3F5" w:val="clear"/>
    </w:rPr>
  </w:style>
  <w:style w:customStyle="1" w:styleId="InformationTok" w:type="character">
    <w:name w:val="InformationTok"/>
    <w:rsid w:val="00742A1F"/>
    <w:rPr>
      <w:color w:val="5E5E5E"/>
      <w:shd w:color="auto" w:fill="F1F3F5" w:val="clear"/>
    </w:rPr>
  </w:style>
  <w:style w:customStyle="1" w:styleId="WarningTok" w:type="character">
    <w:name w:val="WarningTok"/>
    <w:rsid w:val="00742A1F"/>
    <w:rPr>
      <w:i/>
      <w:color w:val="5E5E5E"/>
      <w:shd w:color="auto" w:fill="F1F3F5" w:val="clear"/>
    </w:rPr>
  </w:style>
  <w:style w:customStyle="1" w:styleId="AlertTok" w:type="character">
    <w:name w:val="AlertTok"/>
    <w:rsid w:val="00742A1F"/>
    <w:rPr>
      <w:color w:val="AD0000"/>
      <w:shd w:color="auto" w:fill="F1F3F5" w:val="clear"/>
    </w:rPr>
  </w:style>
  <w:style w:customStyle="1" w:styleId="ErrorTok" w:type="character">
    <w:name w:val="ErrorTok"/>
    <w:rsid w:val="00742A1F"/>
    <w:rPr>
      <w:color w:val="AD0000"/>
      <w:shd w:color="auto" w:fill="F1F3F5" w:val="clear"/>
    </w:rPr>
  </w:style>
  <w:style w:customStyle="1" w:styleId="NormalTok" w:type="character">
    <w:name w:val="NormalTok"/>
    <w:rsid w:val="00742A1F"/>
    <w:rPr>
      <w:color w:val="003B4F"/>
      <w:shd w:color="auto" w:fill="F1F3F5" w:val="clear"/>
    </w:rPr>
  </w:style>
  <w:style w:customStyle="1" w:styleId="KeywordTok0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0" w:type="character">
    <w:name w:val="DataTypeTok"/>
    <w:rsid w:val="00742A1F"/>
    <w:rPr>
      <w:color w:val="AD0000"/>
      <w:shd w:color="auto" w:fill="F1F3F5" w:val="clear"/>
    </w:rPr>
  </w:style>
  <w:style w:customStyle="1" w:styleId="DecValTok0" w:type="character">
    <w:name w:val="DecValTok"/>
    <w:rsid w:val="00742A1F"/>
    <w:rPr>
      <w:color w:val="AD0000"/>
      <w:shd w:color="auto" w:fill="F1F3F5" w:val="clear"/>
    </w:rPr>
  </w:style>
  <w:style w:customStyle="1" w:styleId="BaseNTok0" w:type="character">
    <w:name w:val="BaseNTok"/>
    <w:rsid w:val="00742A1F"/>
    <w:rPr>
      <w:color w:val="AD0000"/>
      <w:shd w:color="auto" w:fill="F1F3F5" w:val="clear"/>
    </w:rPr>
  </w:style>
  <w:style w:customStyle="1" w:styleId="FloatTok0" w:type="character">
    <w:name w:val="FloatTok"/>
    <w:rsid w:val="00742A1F"/>
    <w:rPr>
      <w:color w:val="AD0000"/>
      <w:shd w:color="auto" w:fill="F1F3F5" w:val="clear"/>
    </w:rPr>
  </w:style>
  <w:style w:customStyle="1" w:styleId="ConstantTok0" w:type="character">
    <w:name w:val="ConstantTok"/>
    <w:rsid w:val="00742A1F"/>
    <w:rPr>
      <w:color w:val="8F5902"/>
      <w:shd w:color="auto" w:fill="F1F3F5" w:val="clear"/>
    </w:rPr>
  </w:style>
  <w:style w:customStyle="1" w:styleId="CharTok0" w:type="character">
    <w:name w:val="CharTok"/>
    <w:rsid w:val="00742A1F"/>
    <w:rPr>
      <w:color w:val="20794D"/>
      <w:shd w:color="auto" w:fill="F1F3F5" w:val="clear"/>
    </w:rPr>
  </w:style>
  <w:style w:customStyle="1" w:styleId="SpecialCharTok0" w:type="character">
    <w:name w:val="SpecialCharTok"/>
    <w:rsid w:val="00742A1F"/>
    <w:rPr>
      <w:color w:val="5E5E5E"/>
      <w:shd w:color="auto" w:fill="F1F3F5" w:val="clear"/>
    </w:rPr>
  </w:style>
  <w:style w:customStyle="1" w:styleId="StringTok0" w:type="character">
    <w:name w:val="StringTok"/>
    <w:rsid w:val="00742A1F"/>
    <w:rPr>
      <w:color w:val="20794D"/>
      <w:shd w:color="auto" w:fill="F1F3F5" w:val="clear"/>
    </w:rPr>
  </w:style>
  <w:style w:customStyle="1" w:styleId="VerbatimStringTok0" w:type="character">
    <w:name w:val="VerbatimStringTok"/>
    <w:rsid w:val="00742A1F"/>
    <w:rPr>
      <w:color w:val="20794D"/>
      <w:shd w:color="auto" w:fill="F1F3F5" w:val="clear"/>
    </w:rPr>
  </w:style>
  <w:style w:customStyle="1" w:styleId="SpecialStringTok0" w:type="character">
    <w:name w:val="SpecialStringTok"/>
    <w:rsid w:val="00742A1F"/>
    <w:rPr>
      <w:color w:val="20794D"/>
      <w:shd w:color="auto" w:fill="F1F3F5" w:val="clear"/>
    </w:rPr>
  </w:style>
  <w:style w:customStyle="1" w:styleId="ImportTok0" w:type="character">
    <w:name w:val="ImportTok"/>
    <w:rsid w:val="00742A1F"/>
    <w:rPr>
      <w:color w:val="00769E"/>
      <w:shd w:color="auto" w:fill="F1F3F5" w:val="clear"/>
    </w:rPr>
  </w:style>
  <w:style w:customStyle="1" w:styleId="CommentTok0" w:type="character">
    <w:name w:val="CommentTok"/>
    <w:rsid w:val="00742A1F"/>
    <w:rPr>
      <w:color w:val="5E5E5E"/>
      <w:shd w:color="auto" w:fill="F1F3F5" w:val="clear"/>
    </w:rPr>
  </w:style>
  <w:style w:customStyle="1" w:styleId="DocumentationTok0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0" w:type="character">
    <w:name w:val="AnnotationTok"/>
    <w:rsid w:val="00742A1F"/>
    <w:rPr>
      <w:color w:val="5E5E5E"/>
      <w:shd w:color="auto" w:fill="F1F3F5" w:val="clear"/>
    </w:rPr>
  </w:style>
  <w:style w:customStyle="1" w:styleId="CommentVarTok0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0" w:type="character">
    <w:name w:val="OtherTok"/>
    <w:rsid w:val="00742A1F"/>
    <w:rPr>
      <w:color w:val="003B4F"/>
      <w:shd w:color="auto" w:fill="F1F3F5" w:val="clear"/>
    </w:rPr>
  </w:style>
  <w:style w:customStyle="1" w:styleId="FunctionTok0" w:type="character">
    <w:name w:val="FunctionTok"/>
    <w:rsid w:val="00742A1F"/>
    <w:rPr>
      <w:color w:val="4758AB"/>
      <w:shd w:color="auto" w:fill="F1F3F5" w:val="clear"/>
    </w:rPr>
  </w:style>
  <w:style w:customStyle="1" w:styleId="VariableTok0" w:type="character">
    <w:name w:val="VariableTok"/>
    <w:rsid w:val="00742A1F"/>
    <w:rPr>
      <w:color w:val="111111"/>
      <w:shd w:color="auto" w:fill="F1F3F5" w:val="clear"/>
    </w:rPr>
  </w:style>
  <w:style w:customStyle="1" w:styleId="ControlFlowTok0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0" w:type="character">
    <w:name w:val="OperatorTok"/>
    <w:rsid w:val="00742A1F"/>
    <w:rPr>
      <w:color w:val="5E5E5E"/>
      <w:shd w:color="auto" w:fill="F1F3F5" w:val="clear"/>
    </w:rPr>
  </w:style>
  <w:style w:customStyle="1" w:styleId="BuiltInTok0" w:type="character">
    <w:name w:val="BuiltInTok"/>
    <w:rsid w:val="00742A1F"/>
    <w:rPr>
      <w:color w:val="003B4F"/>
      <w:shd w:color="auto" w:fill="F1F3F5" w:val="clear"/>
    </w:rPr>
  </w:style>
  <w:style w:customStyle="1" w:styleId="ExtensionTok0" w:type="character">
    <w:name w:val="ExtensionTok"/>
    <w:rsid w:val="00742A1F"/>
    <w:rPr>
      <w:color w:val="003B4F"/>
      <w:shd w:color="auto" w:fill="F1F3F5" w:val="clear"/>
    </w:rPr>
  </w:style>
  <w:style w:customStyle="1" w:styleId="PreprocessorTok0" w:type="character">
    <w:name w:val="PreprocessorTok"/>
    <w:rsid w:val="00742A1F"/>
    <w:rPr>
      <w:color w:val="AD0000"/>
      <w:shd w:color="auto" w:fill="F1F3F5" w:val="clear"/>
    </w:rPr>
  </w:style>
  <w:style w:customStyle="1" w:styleId="AttributeTok0" w:type="character">
    <w:name w:val="AttributeTok"/>
    <w:rsid w:val="00742A1F"/>
    <w:rPr>
      <w:color w:val="657422"/>
      <w:shd w:color="auto" w:fill="F1F3F5" w:val="clear"/>
    </w:rPr>
  </w:style>
  <w:style w:customStyle="1" w:styleId="RegionMarkerTok0" w:type="character">
    <w:name w:val="RegionMarkerTok"/>
    <w:rsid w:val="00742A1F"/>
    <w:rPr>
      <w:color w:val="003B4F"/>
      <w:shd w:color="auto" w:fill="F1F3F5" w:val="clear"/>
    </w:rPr>
  </w:style>
  <w:style w:customStyle="1" w:styleId="InformationTok0" w:type="character">
    <w:name w:val="InformationTok"/>
    <w:rsid w:val="00742A1F"/>
    <w:rPr>
      <w:color w:val="5E5E5E"/>
      <w:shd w:color="auto" w:fill="F1F3F5" w:val="clear"/>
    </w:rPr>
  </w:style>
  <w:style w:customStyle="1" w:styleId="WarningTok0" w:type="character">
    <w:name w:val="WarningTok"/>
    <w:rsid w:val="00742A1F"/>
    <w:rPr>
      <w:i/>
      <w:color w:val="5E5E5E"/>
      <w:shd w:color="auto" w:fill="F1F3F5" w:val="clear"/>
    </w:rPr>
  </w:style>
  <w:style w:customStyle="1" w:styleId="AlertTok0" w:type="character">
    <w:name w:val="AlertTok"/>
    <w:rsid w:val="00742A1F"/>
    <w:rPr>
      <w:color w:val="AD0000"/>
      <w:shd w:color="auto" w:fill="F1F3F5" w:val="clear"/>
    </w:rPr>
  </w:style>
  <w:style w:customStyle="1" w:styleId="ErrorTok0" w:type="character">
    <w:name w:val="ErrorTok"/>
    <w:rsid w:val="00742A1F"/>
    <w:rPr>
      <w:color w:val="AD0000"/>
      <w:shd w:color="auto" w:fill="F1F3F5" w:val="clear"/>
    </w:rPr>
  </w:style>
  <w:style w:customStyle="1" w:styleId="NormalTok0" w:type="character">
    <w:name w:val="NormalTok"/>
    <w:rsid w:val="00742A1F"/>
    <w:rPr>
      <w:color w:val="003B4F"/>
      <w:shd w:color="auto" w:fill="F1F3F5"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2026-06-16T15:03:39Z</dcterms:created>
  <dcterms:modified xsi:type="dcterms:W3CDTF">2026-06-16T15:03:39Z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