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072"/>
        <w:gridCol w:w="2268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Indice des prix à la consommation - 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ville d'Al Hoceima</w:t>
            </w:r>
          </w:p>
        </w:tc>
      </w:tr>
    </w:tbl>
    <w:p>
      <w:pPr>
        <w:pStyle w:val="ipcpara0"/>
      </w:pPr>
      <w:r>
        <w:t xml:space="preserve">En Avril 2026, l’indice des prix à la consommation des ménages de la ville d’Al Hoceima a augmenté de 0.9% par rapport au mois précédent. En glissement annuel, il a accru de 2.2%.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corps"/>
      </w:pPr>
      <w:r>
        <w:rPr>
          <w:b/>
          <w:bCs/>
        </w:rPr>
        <w:t xml:space="preserve">Sur un mois,</w:t>
      </w:r>
      <w:r>
        <w:t xml:space="preserve"> </w:t>
      </w:r>
      <w:r>
        <w:t xml:space="preserve">l’indice des prix des produits alimentaires a augmenté de 0.2% en Avril 2026 par rapport à Mars 2026, résultat de la hausse des prix des «Fruits» de 9.7%, des «Viande» de 3.5%, des «Eaux minerales, boissons rafraichissantes, jus de fruits et de légumes (nd)» de 2.2%, des «Tabac» de 1.2%, des «Produits alimentaires n.c.a.» de 1% et du «Café, thé et cacao» de 0.2%.</w:t>
      </w:r>
    </w:p>
    <w:p>
      <w:pPr>
        <w:pStyle w:val="ipccorps"/>
      </w:pPr>
      <w:r>
        <w:t xml:space="preserve">De même, la variation mensuelle de l’indice des produits non alimentaires a accru de 1.8% en raison de la hausse des prix des divisions suivantes: des «Transports» de 10.6%, des «Logement, eau, gaz, électricité et autres combustibles» de 0.3% et des «Articles d’habillement et chaussures» de 0.2%. Aussi la baisse des prix des divisions suivantes : des «Loisirs et culture» de 0.5%, des «Biens et services divers» de 0.3% et des «Meubles, articles de ménage et entretien courant du foyer» de 0.1%. Ainsi que,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1.8% en Avril 2026 par rapport à Avril 2025, sous l’effet de l’augmentation des</w:t>
      </w:r>
      <w:r>
        <w:t xml:space="preserve"> </w:t>
      </w:r>
      <w:r>
        <w:t xml:space="preserve">prix des «Poisson et fruits de mer» de 19%, du «Café, thé et cacao» de 13.6%, des «Légumes» de 12.5%, des «Tabac» de 5%, des «Viande» de 4%, des «Fruits» de 2.4%, des «Eaux minerales, boissons rafraichissantes, jus de fruits et de légumes (nd)» de 1% et des «Sucre, confiture, miel, chocolat et confiserie» de 0.3%. Par ailleurs, la diminution des prix des «Huiles et graisses» de 27.5%, des «Produits alimentaires n.c.a.» de 4.4% et des «Pain et céréales», des «Services de restauration», du «Lait et fromage et œufs» de 1.5% et la stagnation des prix NA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De même, la variation annuelle de l’indice des produits non alimentaires a augmenté de 2.7%. Alors que la variation des prix des divisions qui constituent les produits non alimentaires a fluctué entre une diminution de la division des «Meubles, articles de ménage et entretien courant du foyer» de 0.4% et une augumentation de la division des «Transports» de 11.2%</w:t>
      </w:r>
    </w:p>
    <w:p>
      <w:pPr>
        <w:pStyle w:val="ipctitre0"/>
      </w:pPr>
      <w:r>
        <w:t xml:space="preserve">4- Évolution du taux de la variation annuelle (%) de l’indice des prix à la consommation pour le mois De Avril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Avril 2026, l’indice des prix à la consommation a augmenté de 2.2% par rapport à Avril 2025</w:t>
      </w:r>
    </w:p>
    <w:p>
      <w:pPr>
        <w:pStyle w:val="ipctitre0"/>
      </w:pPr>
      <w:r>
        <w:t xml:space="preserve">6- Évolution de la variation mensuelle (%) de l’indice des prix à la consommation</w:t>
      </w:r>
    </w:p>
    <w:p>
      <w:pPr>
        <w:pStyle w:val="Corpsdetexte"/>
      </w:pPr>
      <w:r>
        <w:drawing>
          <wp:inline>
            <wp:extent cx="3211103" cy="2018408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4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1103" cy="2018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legende"/>
      </w:pPr>
      <w:r>
        <w:rPr>
          <w:u w:val="single"/>
        </w:rPr>
        <w:t xml:space="preserve">Lecture:</w:t>
      </w:r>
      <w:r>
        <w:t xml:space="preserve"> </w:t>
      </w:r>
      <w:r>
        <w:t xml:space="preserve">En Avril 2026, l’indice des prix à la consommation a augmenté de 0.9% par rapport à Mars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para0"/>
      </w:pPr>
      <w:r>
        <w:t xml:space="preserve">Tableau 2: Indice des prix à la consommation de la ville d’Al Hoceima: Avril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020"/>
        <w:gridCol w:w="907"/>
        <w:gridCol w:w="907"/>
        <w:gridCol w:w="907"/>
        <w:gridCol w:w="907"/>
        <w:gridCol w:w="907"/>
        <w:gridCol w:w="567"/>
        <w:gridCol w:w="567"/>
        <w:gridCol w:w="567"/>
      </w:tblGrid>
      <w:tr>
        <w:trPr>
          <w:trHeight w:val="397" w:hRule="exact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Variation (%)</w:t>
            </w:r>
          </w:p>
        </w:tc>
      </w:tr>
      <w:tr>
        <w:trPr>
          <w:trHeight w:val="397" w:hRule="exact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Février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Mars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Avril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mois</w:t>
            </w:r>
          </w:p>
        </w:tc>
      </w:tr>
      <w:tr>
        <w:trPr>
          <w:trHeight w:val="227" w:hRule="exact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141,1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</w:tr>
      <w:tr>
        <w:trPr>
          <w:trHeight w:val="227" w:hRule="exact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137,2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143,3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</w:tr>
      <w:tr>
        <w:trPr>
          <w:trHeight w:val="227" w:hRule="exact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158,1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</w:t>
            </w:r>
          </w:p>
        </w:tc>
      </w:tr>
      <w:tr>
        <w:trPr>
          <w:trHeight w:val="227" w:hRule="exact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2,7</w:t>
            </w:r>
          </w:p>
        </w:tc>
      </w:tr>
      <w:tr>
        <w:trPr>
          <w:trHeight w:val="227" w:hRule="exact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</w:tr>
      <w:tr>
        <w:trPr>
          <w:trHeight w:val="227" w:hRule="exact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1,1</w:t>
            </w:r>
          </w:p>
        </w:tc>
      </w:tr>
      <w:tr>
        <w:trPr>
          <w:trHeight w:val="227" w:hRule="exact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-0,4</w:t>
            </w:r>
          </w:p>
        </w:tc>
      </w:tr>
      <w:tr>
        <w:trPr>
          <w:trHeight w:val="227" w:hRule="exact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</w:tr>
      <w:tr>
        <w:trPr>
          <w:trHeight w:val="227" w:hRule="exact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118,3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11,2</w:t>
            </w:r>
          </w:p>
        </w:tc>
      </w:tr>
      <w:tr>
        <w:trPr>
          <w:trHeight w:val="227" w:hRule="exact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</w:tr>
      <w:tr>
        <w:trPr>
          <w:trHeight w:val="227" w:hRule="exact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95,0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</w:tr>
      <w:tr>
        <w:trPr>
          <w:trHeight w:val="227" w:hRule="exact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0,6</w:t>
            </w:r>
          </w:p>
        </w:tc>
      </w:tr>
      <w:tr>
        <w:trPr>
          <w:trHeight w:val="227" w:hRule="exact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</w:tr>
      <w:tr>
        <w:trPr>
          <w:trHeight w:val="227" w:hRule="exact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3,1</w:t>
            </w:r>
          </w:p>
        </w:tc>
      </w:tr>
      <w:tr>
        <w:trPr>
          <w:trHeight w:val="227" w:hRule="exact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127,2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128,3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2,2</w:t>
            </w:r>
          </w:p>
        </w:tc>
      </w:tr>
    </w:tbl>
    <w:p>
      <w:pPr>
        <w:pStyle w:val="ipclegendetableau"/>
      </w:pPr>
      <w:r>
        <w:rPr>
          <w:u w:val="single"/>
        </w:rPr>
        <w:t xml:space="preserve">Source:</w:t>
      </w:r>
      <w:r>
        <w:t xml:space="preserve"> </w:t>
      </w:r>
      <w:r>
        <w:t xml:space="preserve">Haut-Commissariat au Plan, Direction de la Statistique – Enquête Nationale sur les Prix à la Consommation.</w:t>
      </w:r>
    </w:p>
    <w:p>
      <w:pPr>
        <w:pStyle w:val="ipcpiedpage"/>
      </w:pPr>
      <w:r>
        <w:t xml:space="preserve">Angle Avenue Ibn Tachafine et Avenue Ibn Toumart B.P.104 Tanger</w:t>
      </w:r>
      <w:r>
        <w:br/>
      </w:r>
      <w:r>
        <w:t xml:space="preserve">****</w:t>
      </w:r>
      <w:r>
        <w:t xml:space="preserve">Tél</w:t>
      </w:r>
      <w:r>
        <w:t xml:space="preserve">:0539940698****Fax:0539940364</w:t>
      </w:r>
      <w:r>
        <w:t xml:space="preserve"> </w:t>
      </w:r>
      <w:r>
        <w:t xml:space="preserve">Site Web</w:t>
      </w:r>
      <w:r>
        <w:t xml:space="preserve">: www.hcp.ma/region-tanger Email:hcp.dr.tanger@hcp.ma</w:t>
      </w:r>
    </w:p>
    <w:p>
      <w:pPr>
        <w:pStyle w:val="Corpsdetexte"/>
      </w:pPr>
      <w: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 w:rsidR="00A204FC" w:rsidRPr="00265093" w:rsidSect="007C7937">
      <w:headerReference r:id="rId9" w:type="first"/>
      <w:footerReference r:id="rId10" w:type="first"/>
      <w:pgSz w:h="16838" w:w="11906"/>
      <w:pgMar w:bottom="794" w:footer="0" w:gutter="0" w:header="397" w:left="720" w:right="720" w:top="253"/>
      <w:cols w:space="720"/>
      <w:formProt w:val="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6025A5">
    <w:pPr>
      <w:ind w:left="461"/>
      <w:jc w:val="center"/>
      <w:rPr>
        <w:rFonts w:ascii="Verdana" w:hAnsi="Verdana"/>
      </w:rPr>
    </w:pPr>
    <w:r>
      <w:rPr>
        <w:rFonts w:ascii="Verdana" w:hAnsi="Verdana"/>
        <w:w w:val="90"/>
      </w:rPr>
      <w:t>Angle Avenue Ibn Tachafine et Avenue Ibn Toumart B.P.104 Tanger****Tél:0539940698****Fax:05399403</w:t>
    </w:r>
    <w:r>
      <w:rPr>
        <w:rFonts w:ascii="Verdana" w:hAnsi="Verdana"/>
        <w:spacing w:val="-5"/>
        <w:w w:val="90"/>
      </w:rPr>
      <w:t>64</w:t>
    </w:r>
  </w:p>
  <w:p w:rsidR="006025A5" w:rsidRDefault="006025A5">
    <w:pPr>
      <w:spacing w:before="1"/>
      <w:ind w:left="461" w:right="5"/>
      <w:jc w:val="center"/>
      <w:rPr>
        <w:rFonts w:ascii="Tahoma" w:hAnsi="Tahoma"/>
      </w:rPr>
    </w:pPr>
    <w:r>
      <w:rPr>
        <w:rFonts w:ascii="Tahoma" w:eastAsia="Times New Roman" w:hAnsi="Tahoma"/>
        <w:color w:val="CA400A"/>
      </w:rPr>
      <w:t>SiteWeb:</w:t>
    </w:r>
    <w:hyperlink r:id="rId1">
      <w:r>
        <w:rPr>
          <w:rStyle w:val="Lienhypertexte"/>
          <w:rFonts w:ascii="Tahoma" w:eastAsia="Times New Roman" w:hAnsi="Tahoma"/>
        </w:rPr>
        <w:t>www.hcp.ma/region-tanger</w:t>
      </w:r>
    </w:hyperlink>
    <w:r>
      <w:rPr>
        <w:rFonts w:ascii="Tahoma" w:eastAsia="Times New Roman" w:hAnsi="Tahoma"/>
        <w:color w:val="CA400A"/>
      </w:rPr>
      <w:t>Email:</w:t>
    </w:r>
    <w:hyperlink r:id="rId2">
      <w:r>
        <w:rPr>
          <w:rStyle w:val="Lienhypertexte"/>
          <w:rFonts w:ascii="Tahoma" w:eastAsia="Times New Roman" w:hAnsi="Tahoma"/>
          <w:spacing w:val="-2"/>
        </w:rPr>
        <w:t>hcp.dr.tanger@hcp.ma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025A5" w:rsidRDefault="00E1172D">
    <w:pPr>
      <w:pStyle w:val="En-tte"/>
    </w:pPr>
    <w:r>
      <w:pict>
        <v:group id="shape_0" o:spid="_x0000_s1025" alt="Group 1" style="position:absolute;margin-left:0;margin-top:-62.35pt;width:453.6pt;height:62.3pt;z-index:251659264" coordorigin=",-1247" coordsize="9072,12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3414;top:-1139;width:2431;height:1137;mso-wrap-style:none;mso-position-vertical:top;v-text-anchor:middle" o:allowincell="f" strokecolor="#3465a4">
            <v:stroke joinstyle="round"/>
            <v:imagedata r:id="rId1" o:title="image1"/>
          </v:shape>
          <v:shape id="_x0000_s1026" type="#_x0000_t75" style="position:absolute;top:-1247;width:9071;height:153;mso-wrap-style:none;mso-position-vertical:top;v-text-anchor:middle" o:allowincell="f" strokecolor="#3465a4">
            <v:stroke joinstyle="round"/>
            <v:imagedata r:id="rId2" o:title="image2"/>
          </v:shape>
        </v:group>
      </w:pic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19458" v:ext="edit"/>
    <o:shapelayout v:ext="edit">
      <o:idmap data="1" v:ext="edit"/>
    </o:shapelayout>
  </w:hdrShapeDefaults>
  <w:compat>
    <w:doNotBreakWrappedTables/>
  </w:compat>
  <w:rsids>
    <w:rsidRoot w:val="00A204FC"/>
    <w:rsid w:val="00043809"/>
    <w:rsid w:val="000738F8"/>
    <w:rsid w:val="00160C25"/>
    <w:rsid w:val="00221EBD"/>
    <w:rsid w:val="00231C33"/>
    <w:rsid w:val="00265093"/>
    <w:rsid w:val="0027046E"/>
    <w:rsid w:val="0027281F"/>
    <w:rsid w:val="006025A5"/>
    <w:rsid w:val="006A24C7"/>
    <w:rsid w:val="006B3300"/>
    <w:rsid w:val="007C7937"/>
    <w:rsid w:val="007E4215"/>
    <w:rsid w:val="008772B8"/>
    <w:rsid w:val="008B11E0"/>
    <w:rsid w:val="008D1EFF"/>
    <w:rsid w:val="008F5D24"/>
    <w:rsid w:val="00A204FC"/>
    <w:rsid w:val="00A4715F"/>
    <w:rsid w:val="00AE7A36"/>
    <w:rsid w:val="00B72C64"/>
    <w:rsid w:val="00B876B3"/>
    <w:rsid w:val="00BB5AA0"/>
    <w:rsid w:val="00BF71AD"/>
    <w:rsid w:val="00E1172D"/>
    <w:rsid w:val="00E74F16"/>
    <w:rsid w:val="00F172D8"/>
    <w:rsid w:val="00F20A3F"/>
    <w:rsid w:val="00F35FF0"/>
    <w:rsid w:val="00FC7CEB"/>
  </w:rsids>
  <w:themeFontLang w:bidi="ar-S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9458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</w:rPr>
    </w:rPrDefault>
    <w:pPrDefault>
      <w:pPr>
        <w:suppressAutoHyphens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3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9C081E"/>
    <w:pPr>
      <w:spacing w:after="160" w:line="259" w:lineRule="auto"/>
    </w:pPr>
    <w:rPr>
      <w:rFonts w:asciiTheme="majorBidi" w:cs="Arial" w:eastAsia="Aptos" w:hAnsiTheme="majorBidi"/>
      <w:b/>
      <w:color w:val="8D4354"/>
      <w:sz w:val="16"/>
    </w:rPr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qFormat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qFormat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qFormat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qFormat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qFormat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qFormat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qFormat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qFormat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qFormat/>
    <w:rsid w:val="007C4EC7"/>
    <w:rPr>
      <w:rFonts w:cstheme="majorBidi" w:eastAsiaTheme="majorEastAsia"/>
      <w:color w:themeColor="text1" w:themeTint="D8" w:val="272727"/>
    </w:rPr>
  </w:style>
  <w:style w:customStyle="1" w:styleId="TitreCar" w:type="character">
    <w:name w:val="Titre Car"/>
    <w:basedOn w:val="Policepardfaut"/>
    <w:link w:val="Titre"/>
    <w:uiPriority w:val="10"/>
    <w:qFormat/>
    <w:rsid w:val="007C4EC7"/>
    <w:rPr>
      <w:rFonts w:asciiTheme="majorHAnsi" w:cstheme="majorBidi" w:eastAsiaTheme="majorEastAsia" w:hAnsiTheme="majorHAnsi"/>
      <w:spacing w:val="-10"/>
      <w:kern w:val="2"/>
      <w:sz w:val="56"/>
      <w:szCs w:val="56"/>
    </w:rPr>
  </w:style>
  <w:style w:customStyle="1" w:styleId="Sous-titreCar" w:type="character">
    <w:name w:val="Sous-titre Car"/>
    <w:basedOn w:val="Policepardfaut"/>
    <w:link w:val="Sous-titre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CitationCar" w:type="character">
    <w:name w:val="Citation Car"/>
    <w:basedOn w:val="Policepardfaut"/>
    <w:link w:val="Citation"/>
    <w:uiPriority w:val="29"/>
    <w:qFormat/>
    <w:rsid w:val="007C4EC7"/>
    <w:rPr>
      <w:i/>
      <w:iCs/>
      <w:color w:themeColor="text1" w:themeTint="BF" w:val="404040"/>
    </w:rPr>
  </w:style>
  <w:style w:styleId="Emphase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qFormat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customStyle="1" w:styleId="En-tteCar" w:type="character">
    <w:name w:val="En-tête Car"/>
    <w:basedOn w:val="Policepardfaut"/>
    <w:link w:val="En-tte"/>
    <w:uiPriority w:val="99"/>
    <w:qFormat/>
    <w:rsid w:val="000707FF"/>
  </w:style>
  <w:style w:customStyle="1" w:styleId="PieddepageCar" w:type="character">
    <w:name w:val="Pied de page Car"/>
    <w:basedOn w:val="Policepardfaut"/>
    <w:link w:val="Pieddepage"/>
    <w:uiPriority w:val="99"/>
    <w:qFormat/>
    <w:rsid w:val="000707FF"/>
  </w:style>
  <w:style w:customStyle="1" w:styleId="ipclegendeCar" w:type="character">
    <w:name w:val="ipc_legende Car"/>
    <w:basedOn w:val="Policepardfaut"/>
    <w:link w:val="ipclegende"/>
    <w:qFormat/>
    <w:rsid w:val="00043809"/>
    <w:rPr>
      <w:rFonts w:ascii="Times New Roman" w:cs="Arial" w:eastAsia="Aptos" w:hAnsi="Times New Roman"/>
      <w:b/>
      <w:bCs/>
      <w:spacing w:val="13"/>
      <w:sz w:val="16"/>
    </w:rPr>
  </w:style>
  <w:style w:customStyle="1" w:styleId="ipctitre0Car" w:type="character">
    <w:name w:val="ipc_titre_0 Car"/>
    <w:basedOn w:val="ipclegendeCar"/>
    <w:link w:val="ipctitre0"/>
    <w:qFormat/>
    <w:rsid w:val="00AE7A36"/>
    <w:rPr>
      <w:b/>
      <w:bCs/>
      <w:color w:val="CA400A"/>
      <w:sz w:val="20"/>
    </w:rPr>
  </w:style>
  <w:style w:customStyle="1" w:styleId="ipccorpsCar" w:type="character">
    <w:name w:val="ipc_corps Car"/>
    <w:basedOn w:val="ipctitre0Car"/>
    <w:link w:val="ipccorps"/>
    <w:qFormat/>
    <w:rsid w:val="00A809A4"/>
    <w:rPr>
      <w:bCs/>
      <w:sz w:val="18"/>
      <w:szCs w:val="24"/>
    </w:rPr>
  </w:style>
  <w:style w:customStyle="1" w:styleId="ipcpara0Car" w:type="character">
    <w:name w:val="ipc_para_0 Car"/>
    <w:basedOn w:val="ipccorpsCar"/>
    <w:link w:val="ipcpara0"/>
    <w:qFormat/>
    <w:rsid w:val="00A809A4"/>
    <w:rPr>
      <w:rFonts w:cs="Times New Roman" w:eastAsia="Times New Roman"/>
      <w:b/>
      <w:bCs/>
      <w:color w:val="8D4354"/>
      <w:kern w:val="0"/>
    </w:rPr>
  </w:style>
  <w:style w:styleId="Emphaseple" w:type="character">
    <w:name w:val="Subtle Emphasis"/>
    <w:basedOn w:val="Policepardfaut"/>
    <w:uiPriority w:val="19"/>
    <w:qFormat/>
    <w:rsid w:val="00A14A34"/>
    <w:rPr>
      <w:i/>
      <w:iCs/>
      <w:color w:themeColor="text1" w:themeTint="7F" w:val="808080"/>
    </w:rPr>
  </w:style>
  <w:style w:customStyle="1" w:styleId="ipclegendetableauCar" w:type="character">
    <w:name w:val="ipc_legende_tableau Car"/>
    <w:basedOn w:val="ipcpara0Car"/>
    <w:link w:val="ipclegendetableau"/>
    <w:qFormat/>
    <w:rsid w:val="00A14A34"/>
    <w:rPr>
      <w:b/>
      <w:bCs/>
      <w:sz w:val="16"/>
    </w:rPr>
  </w:style>
  <w:style w:styleId="Lienhypertexte" w:type="character">
    <w:name w:val="Hyperlink"/>
    <w:rsid w:val="00A204FC"/>
    <w:rPr>
      <w:color w:val="000080"/>
      <w:u w:val="single"/>
    </w:rPr>
  </w:style>
  <w:style w:styleId="Titre" w:type="paragraph">
    <w:name w:val="Title"/>
    <w:basedOn w:val="Normal"/>
    <w:next w:val="Corpsdetexte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sz w:val="56"/>
      <w:szCs w:val="56"/>
    </w:rPr>
  </w:style>
  <w:style w:styleId="Corpsdetexte" w:type="paragraph">
    <w:name w:val="Body Text"/>
    <w:basedOn w:val="Normal"/>
    <w:rsid w:val="00A204FC"/>
    <w:pPr>
      <w:spacing w:after="140" w:line="276" w:lineRule="auto"/>
    </w:pPr>
  </w:style>
  <w:style w:styleId="Liste" w:type="paragraph">
    <w:name w:val="List"/>
    <w:basedOn w:val="Corpsdetexte"/>
    <w:rsid w:val="00A204FC"/>
    <w:rPr>
      <w:rFonts w:cs="Lucida Sans"/>
    </w:rPr>
  </w:style>
  <w:style w:styleId="Lgende" w:type="paragraph">
    <w:name w:val="caption"/>
    <w:basedOn w:val="Normal"/>
    <w:qFormat/>
    <w:rsid w:val="00A204FC"/>
    <w:pPr>
      <w:suppressLineNumbers/>
      <w:spacing w:after="120" w:before="120"/>
    </w:pPr>
    <w:rPr>
      <w:rFonts w:cs="Lucida Sans"/>
      <w:i/>
      <w:iCs/>
      <w:sz w:val="24"/>
      <w:szCs w:val="24"/>
    </w:rPr>
  </w:style>
  <w:style w:customStyle="1" w:styleId="Index" w:type="paragraph">
    <w:name w:val="Index"/>
    <w:basedOn w:val="Normal"/>
    <w:qFormat/>
    <w:rsid w:val="00A204FC"/>
    <w:pPr>
      <w:suppressLineNumbers/>
    </w:pPr>
    <w:rPr>
      <w:rFonts w:cs="Lucida Sans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En-tteetpieddepage" w:type="paragraph">
    <w:name w:val="En-tête et pied de page"/>
    <w:basedOn w:val="Normal"/>
    <w:qFormat/>
    <w:rsid w:val="00A204FC"/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ipclegende" w:type="paragraph">
    <w:name w:val="ipc_legende"/>
    <w:basedOn w:val="Normal"/>
    <w:link w:val="ipclegendeCar"/>
    <w:qFormat/>
    <w:rsid w:val="00043809"/>
    <w:pPr>
      <w:ind w:left="170"/>
    </w:pPr>
    <w:rPr>
      <w:rFonts w:ascii="Times New Roman" w:hAnsi="Times New Roman"/>
      <w:bCs/>
      <w:color w:val="auto"/>
      <w:spacing w:val="13"/>
    </w:rPr>
  </w:style>
  <w:style w:customStyle="1" w:styleId="ipctitre0" w:type="paragraph">
    <w:name w:val="ipc_titre_0"/>
    <w:link w:val="ipctitre0Car"/>
    <w:qFormat/>
    <w:rsid w:val="00AE7A36"/>
    <w:pPr>
      <w:spacing w:after="160" w:line="259" w:lineRule="auto"/>
      <w:jc w:val="center"/>
    </w:pPr>
    <w:rPr>
      <w:rFonts w:ascii="Times New Roman" w:cs="Arial" w:eastAsia="Aptos" w:hAnsi="Times New Roman"/>
      <w:b/>
      <w:bCs/>
      <w:color w:val="CA400A"/>
      <w:spacing w:val="13"/>
      <w:sz w:val="20"/>
    </w:rPr>
  </w:style>
  <w:style w:customStyle="1" w:styleId="ipccorps" w:type="paragraph">
    <w:name w:val="ipc_corps"/>
    <w:link w:val="ipccorpsCar"/>
    <w:qFormat/>
    <w:rsid w:val="00A809A4"/>
    <w:pPr>
      <w:spacing w:after="160" w:line="259" w:lineRule="auto"/>
    </w:pPr>
    <w:rPr>
      <w:rFonts w:ascii="Times New Roman" w:hAnsi="Times New Roman"/>
      <w:bCs/>
      <w:spacing w:val="13"/>
      <w:sz w:val="18"/>
      <w:szCs w:val="24"/>
    </w:rPr>
  </w:style>
  <w:style w:customStyle="1" w:styleId="ipcpara0" w:type="paragraph">
    <w:name w:val="ipc_para_0"/>
    <w:basedOn w:val="ipccorps"/>
    <w:link w:val="ipcpara0Car"/>
    <w:qFormat/>
    <w:rsid w:val="00A809A4"/>
    <w:rPr>
      <w:rFonts w:cs="Times New Roman" w:eastAsia="Times New Roman"/>
      <w:b/>
      <w:color w:val="8D4354"/>
      <w:spacing w:val="0"/>
      <w:kern w:val="0"/>
      <w:sz w:val="22"/>
    </w:rPr>
  </w:style>
  <w:style w:customStyle="1" w:styleId="ipclegendetableau" w:type="paragraph">
    <w:name w:val="ipc_legende_tableau"/>
    <w:basedOn w:val="ipcpara0"/>
    <w:link w:val="ipclegendetableauCar"/>
    <w:qFormat/>
    <w:rsid w:val="00A14A34"/>
    <w:rPr>
      <w:sz w:val="16"/>
    </w:rPr>
  </w:style>
  <w:style w:customStyle="1" w:styleId="Pasdeliste" w:type="numbering">
    <w:name w:val="Pas de liste"/>
    <w:uiPriority w:val="99"/>
    <w:semiHidden/>
    <w:unhideWhenUsed/>
    <w:qFormat/>
    <w:rsid w:val="00A204FC"/>
  </w:style>
  <w:style w:styleId="Grilledutableau" w:type="table">
    <w:name w:val="Table Grid"/>
    <w:basedOn w:val="TableauNormal"/>
    <w:uiPriority w:val="39"/>
    <w:rsid w:val="008868E3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1" w:type="table">
    <w:name w:val="Plain Table 1"/>
    <w:basedOn w:val="TableauNormal"/>
    <w:uiPriority w:val="41"/>
    <w:rsid w:val="008868E3"/>
    <w:tblPr>
      <w:tblStyleRowBandSize w:val="1"/>
      <w:tblStyleColBandSize w:val="1"/>
      <w:tblInd w:type="dxa" w:w="0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FFFF" w:space="0" w:sz="4" w:themeColor="background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rPr>
      <w:b/>
      <w:sz w:val="32"/>
    </w:rPr>
    <w:tblPr>
      <w:tblInd w:type="dxa" w:w="0"/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PlainTable3" w:type="table">
    <w:name w:val="Plain Table 3"/>
    <w:basedOn w:val="TableauNormal"/>
    <w:uiPriority w:val="43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ap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000000" w:space="0" w:sz="4" w:themeColor="text1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customStyle="1" w:styleId="PlainTable4" w:type="table">
    <w:name w:val="Plain Table 4"/>
    <w:basedOn w:val="TableauNormal"/>
    <w:uiPriority w:val="44"/>
    <w:rsid w:val="00333D65"/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GridTable4" w:type="table">
    <w:name w:val="Grid Table 4"/>
    <w:basedOn w:val="TableauNormal"/>
    <w:uiPriority w:val="49"/>
    <w:rsid w:val="00333D65"/>
    <w:tblPr>
      <w:tblStyleRowBandSize w:val="1"/>
      <w:tblStyleColBandSize w:val="1"/>
      <w:tblInd w:type="dxa" w:w="0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jc w:val="center"/>
    </w:pPr>
    <w:rPr>
      <w:sz w:val="24"/>
    </w:rPr>
    <w:tblPr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8E8E8" w:themeFill="background2" w:val="clear"/>
    </w:tcPr>
  </w:style>
  <w:style w:customStyle="1" w:styleId="ipcpiedpage" w:type="paragraph">
    <w:name w:val="ipc_pied_page"/>
    <w:basedOn w:val="En-tteetpieddepage"/>
    <w:link w:val="ipcpiedpageCar"/>
    <w:qFormat/>
    <w:rsid w:val="00B876B3"/>
    <w:pPr>
      <w:jc w:val="center"/>
    </w:pPr>
    <w:rPr>
      <w:color w:val="auto"/>
      <w:lang w:bidi="ar-MA"/>
    </w:rPr>
  </w:style>
  <w:style w:customStyle="1" w:styleId="ipcpiedpageCar" w:type="character">
    <w:name w:val="ipc_pied_page Car"/>
    <w:basedOn w:val="Policepardfaut"/>
    <w:link w:val="ipcpiedpage"/>
    <w:rsid w:val="00B876B3"/>
    <w:rPr>
      <w:rFonts w:asciiTheme="majorBidi" w:cs="Arial" w:eastAsia="Aptos" w:hAnsiTheme="majorBidi"/>
      <w:b/>
      <w:sz w:val="16"/>
      <w:lang w:bidi="ar-MA"/>
    </w:rPr>
  </w:style>
  <w:style w:customStyle="1" w:styleId="ipcpiedpageinline" w:type="paragraph">
    <w:name w:val="ipc_pied_page_inline"/>
    <w:basedOn w:val="ipcpiedpage"/>
    <w:link w:val="ipcpiedpageinlineCar"/>
    <w:qFormat/>
    <w:rsid w:val="00160C25"/>
    <w:pPr>
      <w:spacing w:after="0" w:line="240" w:lineRule="auto"/>
    </w:pPr>
    <w:rPr>
      <w:u w:val="single"/>
    </w:rPr>
  </w:style>
  <w:style w:customStyle="1" w:styleId="ipcpiedpageinlineCar" w:type="character">
    <w:name w:val="ipc_pied_page_inline Car"/>
    <w:basedOn w:val="ipcpiedpageCar"/>
    <w:link w:val="ipcpiedpageinline"/>
    <w:rsid w:val="00160C25"/>
    <w:rPr>
      <w:b/>
      <w:u w:val="singl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hcp.dr.tanger@hcp.ma" TargetMode="External"/><Relationship Id="rId1" Type="http://schemas.openxmlformats.org/officeDocument/2006/relationships/hyperlink" Target="http://www.hcp.ma/region-tanger" TargetMode="External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2026-06-16T15:04:05Z</dcterms:created>
  <dcterms:modified xsi:type="dcterms:W3CDTF">2026-06-16T15:04:05Z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