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مذكرة اخبارية للمديرية الجهوية لجهة طنجة تطوان الحسيمة</w:t>
      </w:r>
    </w:p>
    <w:p>
      <w:pPr>
        <w:pStyle w:val="ipctitre0"/>
      </w:pPr>
      <w:r>
        <w:t xml:space="preserve">الرقم الاستدلالي للأثمان عند الاستهلاك أساس : (2017 :100)</w:t>
      </w:r>
      <w:r>
        <w:t xml:space="preserve"> </w:t>
      </w:r>
      <w:r>
        <w:t xml:space="preserve">لمدينة الحسيمة</w:t>
      </w:r>
    </w:p>
    <w:p>
      <w:pPr>
        <w:pStyle w:val="ipcpara0"/>
      </w:pPr>
      <w:r>
        <w:t xml:space="preserve">في شهر ماي 2026 انخفضت أسعار الاستهلاك على المستوى الوطني بنسبة (1.2’% ) خلال شهر واحد في حين ارتفعت أسعار الاستهلاك بما يقارب (0.9% ) خلال سنة كاملة.</w:t>
      </w:r>
    </w:p>
    <w:p>
      <w:pPr>
        <w:pStyle w:val="ipccorps"/>
      </w:pPr>
      <w:r>
        <w:t xml:space="preserve">على المستوى الشهري انخفض الرقم الاستدلالي للمواد الغذائية ب 2.4’% في شهر ماي 2026 مقارنة بشهر ابريل .2026 ويعزى ذلك الى انخفاض أثمان .</w:t>
      </w:r>
      <w:r>
        <w:rPr>
          <w:b/>
          <w:bCs/>
        </w:rPr>
        <w:t xml:space="preserve">الزيوت والدهون</w:t>
      </w:r>
      <w:r>
        <w:t xml:space="preserve">ب5.8%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ب5%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ب3%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ب1.2% ‏،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ب0.8%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ب0.7% ‏ و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ب0.3% ‏</w:t>
      </w:r>
    </w:p>
    <w:p>
      <w:pPr>
        <w:pStyle w:val="ipccorps"/>
      </w:pPr>
      <w:r>
        <w:t xml:space="preserve">في حين، ارتفع التغير الشهري للرقم الاستدلالي للمواد غير الغذائية ب (0.5% ) جراء زيادة أثمان الأقسام التالية:</w:t>
      </w:r>
      <w:r>
        <w:t xml:space="preserve"> </w:t>
      </w:r>
      <w:r>
        <w:rPr>
          <w:b/>
          <w:bCs/>
        </w:rPr>
        <w:t xml:space="preserve">السكن، والمياه، والغاز، والكهرباء، وأنواع الوقود الأخرى</w:t>
      </w:r>
      <w:r>
        <w:t xml:space="preserve">ب2.3% ‏،</w:t>
      </w:r>
      <w:r>
        <w:t xml:space="preserve"> </w:t>
      </w:r>
      <w:r>
        <w:rPr>
          <w:b/>
          <w:bCs/>
        </w:rPr>
        <w:t xml:space="preserve">المطاعم والفنادق</w:t>
      </w:r>
      <w:r>
        <w:t xml:space="preserve">ب0.4% ‏،</w:t>
      </w:r>
      <w:r>
        <w:t xml:space="preserve"> </w:t>
      </w:r>
      <w:r>
        <w:rPr>
          <w:b/>
          <w:bCs/>
        </w:rPr>
        <w:t xml:space="preserve">الملابس والأحذية</w:t>
      </w:r>
      <w:r>
        <w:t xml:space="preserve">ب0.3% ‏ و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ب0.2% ‏ .</w:t>
      </w:r>
    </w:p>
    <w:p>
      <w:pPr>
        <w:pStyle w:val="ipccorps"/>
      </w:pPr>
      <w:r>
        <w:rPr>
          <w:b/>
          <w:bCs/>
        </w:rPr>
        <w:t xml:space="preserve">على المستوى السنوي،</w:t>
      </w:r>
      <w:r>
        <w:t xml:space="preserve">انخفض الرقم الاستدلالي للمواد الغذائية</w:t>
      </w:r>
      <w:r>
        <w:t xml:space="preserve"> </w:t>
      </w:r>
      <w:r>
        <w:t xml:space="preserve">ب -0.9% في نونبر 2025 مقارنة بنظيره من السنة الماضية،ويعزى ذلك إلى تراجع أثمان المواد المكونة للمجموعات التالية:</w:t>
      </w:r>
      <w:r>
        <w:t xml:space="preserve"> </w:t>
      </w:r>
      <w:r>
        <w:rPr>
          <w:b/>
          <w:bCs/>
        </w:rPr>
        <w:t xml:space="preserve">الزيوت والدهون</w:t>
      </w:r>
      <w:r>
        <w:t xml:space="preserve">ب32.6% ‏،</w:t>
      </w:r>
      <w:r>
        <w:t xml:space="preserve"> </w:t>
      </w:r>
      <w:r>
        <w:rPr>
          <w:b/>
          <w:bCs/>
        </w:rPr>
        <w:t xml:space="preserve">الحليب والجبن والبيض</w:t>
      </w:r>
      <w:r>
        <w:t xml:space="preserve">ب3.4% ‏،</w:t>
      </w:r>
      <w:r>
        <w:t xml:space="preserve"> </w:t>
      </w:r>
      <w:r>
        <w:rPr>
          <w:b/>
          <w:bCs/>
        </w:rPr>
        <w:t xml:space="preserve">الخبز والحبوب</w:t>
      </w:r>
      <w:r>
        <w:t xml:space="preserve"> </w:t>
      </w:r>
      <w:r>
        <w:t xml:space="preserve">و</w:t>
      </w:r>
      <w:r>
        <w:t xml:space="preserve"> </w:t>
      </w:r>
      <w:r>
        <w:rPr>
          <w:b/>
          <w:bCs/>
        </w:rPr>
        <w:t xml:space="preserve">خدمات تقديم الطعام</w:t>
      </w:r>
      <w:r>
        <w:t xml:space="preserve">ب1.1% ‏ و</w:t>
      </w:r>
      <w:r>
        <w:t xml:space="preserve"> </w:t>
      </w:r>
      <w:r>
        <w:rPr>
          <w:b/>
          <w:bCs/>
        </w:rPr>
        <w:t xml:space="preserve">مواد غذائية غير مصنفة في مكان آخر</w:t>
      </w:r>
      <w:r>
        <w:t xml:space="preserve">ب0.7% ‏. وعلى الرغم من الارتفاعات المسجلة في أثمان المواد</w:t>
      </w:r>
      <w:r>
        <w:t xml:space="preserve"> </w:t>
      </w:r>
      <w:r>
        <w:t xml:space="preserve">المكونة للمجموعات التالية:</w:t>
      </w:r>
      <w:r>
        <w:t xml:space="preserve"> </w:t>
      </w:r>
      <w:r>
        <w:rPr>
          <w:b/>
          <w:bCs/>
        </w:rPr>
        <w:t xml:space="preserve">مقهى، شاي وكاكاو</w:t>
      </w:r>
      <w:r>
        <w:t xml:space="preserve">ب13.6% ‏،</w:t>
      </w:r>
      <w:r>
        <w:t xml:space="preserve"> </w:t>
      </w:r>
      <w:r>
        <w:rPr>
          <w:b/>
          <w:bCs/>
        </w:rPr>
        <w:t xml:space="preserve">الأسماك والمأكولات البحرية</w:t>
      </w:r>
      <w:r>
        <w:t xml:space="preserve">ب7.9% ‏،</w:t>
      </w:r>
      <w:r>
        <w:t xml:space="preserve"> </w:t>
      </w:r>
      <w:r>
        <w:rPr>
          <w:b/>
          <w:bCs/>
        </w:rPr>
        <w:t xml:space="preserve">اللحم</w:t>
      </w:r>
      <w:r>
        <w:t xml:space="preserve">ب6.7% ‏،</w:t>
      </w:r>
      <w:r>
        <w:t xml:space="preserve"> </w:t>
      </w:r>
      <w:r>
        <w:rPr>
          <w:b/>
          <w:bCs/>
        </w:rPr>
        <w:t xml:space="preserve">التبغ</w:t>
      </w:r>
      <w:r>
        <w:t xml:space="preserve">ب5% ‏،</w:t>
      </w:r>
      <w:r>
        <w:t xml:space="preserve"> </w:t>
      </w:r>
      <w:r>
        <w:rPr>
          <w:b/>
          <w:bCs/>
        </w:rPr>
        <w:t xml:space="preserve">الفواكه</w:t>
      </w:r>
      <w:r>
        <w:t xml:space="preserve">ب4.6% ‏،</w:t>
      </w:r>
      <w:r>
        <w:t xml:space="preserve"> </w:t>
      </w:r>
      <w:r>
        <w:rPr>
          <w:b/>
          <w:bCs/>
        </w:rPr>
        <w:t xml:space="preserve">الخضراوات</w:t>
      </w:r>
      <w:r>
        <w:t xml:space="preserve">ب3.8% ‏ و</w:t>
      </w:r>
      <w:r>
        <w:t xml:space="preserve"> </w:t>
      </w:r>
      <w:r>
        <w:rPr>
          <w:b/>
          <w:bCs/>
        </w:rPr>
        <w:t xml:space="preserve">السكر، والمربى، والعسل، والشوكولاتة، والحلويات</w:t>
      </w:r>
      <w:r>
        <w:t xml:space="preserve">ب0.5% ‏ و كذا</w:t>
      </w:r>
      <w:r>
        <w:t xml:space="preserve"> </w:t>
      </w:r>
      <w:r>
        <w:t xml:space="preserve">استقرار أثمان</w:t>
      </w:r>
      <w:r>
        <w:t xml:space="preserve"> </w:t>
      </w:r>
      <w:r>
        <w:rPr>
          <w:b/>
          <w:bCs/>
        </w:rPr>
        <w:t xml:space="preserve">المياه المعدنية، والمشروبات الغازية، وعصائر الفاكهة والخضراوات (بدون تاريخ)</w:t>
      </w:r>
      <w:r>
        <w:t xml:space="preserve">ب0% ‏ فإن ذلك لم يؤثر على التطور</w:t>
      </w:r>
      <w:r>
        <w:t xml:space="preserve"> </w:t>
      </w:r>
      <w:r>
        <w:t xml:space="preserve">العام.</w:t>
      </w:r>
    </w:p>
    <w:p>
      <w:pPr>
        <w:pStyle w:val="ipccorps"/>
      </w:pPr>
      <w:r>
        <w:t xml:space="preserve">في حين، سجل التغير السنوي لمؤشر المواد غير الغذائية ارتفاعا ب 3.4 %، نتيجة التباين بين أقسامه حيث انخفض قسم</w:t>
      </w:r>
      <w:r>
        <w:t xml:space="preserve"> </w:t>
      </w:r>
      <w:r>
        <w:rPr>
          <w:b/>
          <w:bCs/>
        </w:rPr>
        <w:t xml:space="preserve">الأثاث والأدوات المنزلية والصيانة المنزلية الروتينية</w:t>
      </w:r>
      <w:r>
        <w:t xml:space="preserve">ب0.5% ‏ بينما ارتفع</w:t>
      </w:r>
      <w:r>
        <w:t xml:space="preserve"> </w:t>
      </w:r>
      <w:r>
        <w:rPr>
          <w:b/>
          <w:bCs/>
        </w:rPr>
        <w:t xml:space="preserve">مواصلات</w:t>
      </w:r>
      <w:r>
        <w:t xml:space="preserve">ب12.6% ‏</w:t>
      </w:r>
    </w:p>
    <w:p>
      <w:pPr>
        <w:pStyle w:val="ipctitre0"/>
      </w:pPr>
      <w:r>
        <w:t xml:space="preserve">4- تطور معدل التغير السنوي (%) للرقم الاستدلالي للأثمان عند الاستهلاك لشهر ماي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ماي 2026 ارتفع الرقم الاستدلالي للأثمان عند الاستهلاك</w:t>
      </w:r>
      <w:r>
        <w:t xml:space="preserve"> </w:t>
      </w:r>
      <w:r>
        <w:t xml:space="preserve">ب 0.9 % مقارنة بشهر ماي 2025</w:t>
      </w:r>
    </w:p>
    <w:p>
      <w:pPr>
        <w:pStyle w:val="ipctitre0"/>
      </w:pPr>
      <w:r>
        <w:t xml:space="preserve">6- تطور معدل التغير السنوي (%) للرقم الاستدلالي للأثمان عند الاستهلاك لشهر ماي</w:t>
      </w:r>
    </w:p>
    <w:p>
      <w:pPr>
        <w:pStyle w:val="BodyText"/>
      </w:pPr>
      <w:r>
        <w:drawing>
          <wp:inline>
            <wp:extent cx="5544151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a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51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في ماي 2026 انخفظ الرقم الاستدلالي للأثمان عند الاستهلاك</w:t>
      </w:r>
      <w:r>
        <w:t xml:space="preserve"> </w:t>
      </w:r>
      <w:r>
        <w:t xml:space="preserve">ب 1.2 % مقارنة بشهر ابريل 2026</w:t>
      </w:r>
    </w:p>
    <w:p>
      <w:pPr>
        <w:pStyle w:val="ipcpara0"/>
      </w:pPr>
      <w:r>
        <w:t xml:space="preserve">جدول 2: الرقم الاستدلالي للأثمان عند الاستهلاك لمدينة الحسيمة ماي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ماي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ابريل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مارس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49,716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141,4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48,371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50,284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5,261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para0"/>
      </w:pPr>
      <w:r>
        <w:t xml:space="preserve">المندوبية السامية للتخطيط، مديرية الإحصاء -البحث الوطني حول الأثمان عند الاستهلاك</w:t>
      </w:r>
    </w:p>
    <w:sectPr w:rsidR="00742A1F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742A1F" w:rsidP="000707FF">
    <w:pPr>
      <w:pStyle w:val="En-tte"/>
    </w:pPr>
    <w:r w:rsidRPr="00742A1F">
      <w:rPr>
        <w:noProof/>
        <w:sz w:val="20"/>
      </w:rPr>
    </w:r>
    <w:r w:rsidRPr="00742A1F">
      <w:rPr>
        <w:noProof/>
        <w:sz w:val="20"/>
      </w:rPr>
      <w:pict>
        <v:group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2" o:spid="_x0000_s1027" type="#_x0000_t75" style="position:absolute;left:23729;top:754;width:16903;height:791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<v:imagedata r:id="rId1" o:title=""/>
          </v:shape>
          <v:shape id="Image 3" o:spid="_x0000_s1028" type="#_x0000_t75" style="position:absolute;width:63055;height:107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<v:imagedata r:id="rId2" o:title=""/>
          </v:shape>
          <w10:wrap type="none"/>
          <w10:anchorlock/>
        </v:group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07FF" w:rsidRDefault="000707FF">
    <w:pPr>
      <w:pStyle w:val="En-tte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000A990"/>
    <w:multiLevelType w:val="multilevel"/>
    <w:tmpl w:val="3C9EE290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4098" v:ext="edit"/>
    <o:shapelayout v:ext="edit">
      <o:idmap data="1" v:ext="edit"/>
    </o:shapelayout>
  </w:hdrShapeDefaults>
  <w:compat/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3F131F"/>
    <w:rsid w:val="0052338E"/>
    <w:rsid w:val="006734DB"/>
    <w:rsid w:val="00742A1F"/>
    <w:rsid w:val="00790CDD"/>
    <w:rsid w:val="007A0D96"/>
    <w:rsid w:val="007C4EC7"/>
    <w:rsid w:val="008868E3"/>
    <w:rsid w:val="009010EA"/>
    <w:rsid w:val="009110DF"/>
    <w:rsid w:val="00956E03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eastAsia="en-US" w:val="fr-FR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742A1F"/>
    <w:rPr>
      <w:rFonts w:cs="Times New Roman"/>
      <w:lang w:bidi="ar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Ind w:type="dxa" w:w="0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ipctitre0" w:type="paragraph">
    <w:name w:val="ipc_titre_0"/>
    <w:link w:val="ipctitre0Car"/>
    <w:qFormat/>
    <w:rsid w:val="00A77669"/>
    <w:rPr>
      <w:rFonts w:ascii="Times New Roman" w:cs="Times New Roman" w:hAnsi="Times New Roman"/>
      <w:b/>
      <w:bCs/>
      <w:color w:val="CA400A"/>
      <w:spacing w:val="13"/>
      <w:sz w:val="32"/>
      <w:lang w:bidi="ar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cs="Times New Roman" w:hAnsi="Times New Roman"/>
      <w:bCs/>
      <w:spacing w:val="13"/>
      <w:sz w:val="21"/>
      <w:szCs w:val="24"/>
      <w:lang w:bidi="ar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eastAsia="Times New Roman"/>
      <w:b/>
      <w:color w:val="8D4354"/>
      <w:spacing w:val="0"/>
      <w:kern w:val="0"/>
      <w:sz w:val="24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</w:rPr>
  </w:style>
  <w:style w:customStyle="1" w:styleId="PlainTab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SourceCode" w:type="paragraph">
    <w:name w:val="Source Code"/>
    <w:basedOn w:val="Normal"/>
    <w:rsid w:val="00742A1F"/>
    <w:pPr>
      <w:shd w:color="auto" w:fill="F1F3F5" w:val="clear"/>
      <w:wordWrap w:val="0"/>
    </w:pPr>
  </w:style>
  <w:style w:customStyle="1" w:styleId="KeywordTok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" w:type="character">
    <w:name w:val="DataTypeTok"/>
    <w:rsid w:val="00742A1F"/>
    <w:rPr>
      <w:color w:val="AD0000"/>
      <w:shd w:color="auto" w:fill="F1F3F5" w:val="clear"/>
    </w:rPr>
  </w:style>
  <w:style w:customStyle="1" w:styleId="DecValTok" w:type="character">
    <w:name w:val="DecValTok"/>
    <w:rsid w:val="00742A1F"/>
    <w:rPr>
      <w:color w:val="AD0000"/>
      <w:shd w:color="auto" w:fill="F1F3F5" w:val="clear"/>
    </w:rPr>
  </w:style>
  <w:style w:customStyle="1" w:styleId="BaseNTok" w:type="character">
    <w:name w:val="BaseNTok"/>
    <w:rsid w:val="00742A1F"/>
    <w:rPr>
      <w:color w:val="AD0000"/>
      <w:shd w:color="auto" w:fill="F1F3F5" w:val="clear"/>
    </w:rPr>
  </w:style>
  <w:style w:customStyle="1" w:styleId="FloatTok" w:type="character">
    <w:name w:val="FloatTok"/>
    <w:rsid w:val="00742A1F"/>
    <w:rPr>
      <w:color w:val="AD0000"/>
      <w:shd w:color="auto" w:fill="F1F3F5" w:val="clear"/>
    </w:rPr>
  </w:style>
  <w:style w:customStyle="1" w:styleId="ConstantTok" w:type="character">
    <w:name w:val="ConstantTok"/>
    <w:rsid w:val="00742A1F"/>
    <w:rPr>
      <w:color w:val="8F5902"/>
      <w:shd w:color="auto" w:fill="F1F3F5" w:val="clear"/>
    </w:rPr>
  </w:style>
  <w:style w:customStyle="1" w:styleId="CharTok" w:type="character">
    <w:name w:val="CharTok"/>
    <w:rsid w:val="00742A1F"/>
    <w:rPr>
      <w:color w:val="20794D"/>
      <w:shd w:color="auto" w:fill="F1F3F5" w:val="clear"/>
    </w:rPr>
  </w:style>
  <w:style w:customStyle="1" w:styleId="SpecialCharTok" w:type="character">
    <w:name w:val="SpecialCharTok"/>
    <w:rsid w:val="00742A1F"/>
    <w:rPr>
      <w:color w:val="5E5E5E"/>
      <w:shd w:color="auto" w:fill="F1F3F5" w:val="clear"/>
    </w:rPr>
  </w:style>
  <w:style w:customStyle="1" w:styleId="StringTok" w:type="character">
    <w:name w:val="StringTok"/>
    <w:rsid w:val="00742A1F"/>
    <w:rPr>
      <w:color w:val="20794D"/>
      <w:shd w:color="auto" w:fill="F1F3F5" w:val="clear"/>
    </w:rPr>
  </w:style>
  <w:style w:customStyle="1" w:styleId="VerbatimStringTok" w:type="character">
    <w:name w:val="VerbatimStringTok"/>
    <w:rsid w:val="00742A1F"/>
    <w:rPr>
      <w:color w:val="20794D"/>
      <w:shd w:color="auto" w:fill="F1F3F5" w:val="clear"/>
    </w:rPr>
  </w:style>
  <w:style w:customStyle="1" w:styleId="SpecialStringTok" w:type="character">
    <w:name w:val="SpecialStringTok"/>
    <w:rsid w:val="00742A1F"/>
    <w:rPr>
      <w:color w:val="20794D"/>
      <w:shd w:color="auto" w:fill="F1F3F5" w:val="clear"/>
    </w:rPr>
  </w:style>
  <w:style w:customStyle="1" w:styleId="ImportTok" w:type="character">
    <w:name w:val="ImportTok"/>
    <w:rsid w:val="00742A1F"/>
    <w:rPr>
      <w:color w:val="00769E"/>
      <w:shd w:color="auto" w:fill="F1F3F5" w:val="clear"/>
    </w:rPr>
  </w:style>
  <w:style w:customStyle="1" w:styleId="CommentTok" w:type="character">
    <w:name w:val="CommentTok"/>
    <w:rsid w:val="00742A1F"/>
    <w:rPr>
      <w:color w:val="5E5E5E"/>
      <w:shd w:color="auto" w:fill="F1F3F5" w:val="clear"/>
    </w:rPr>
  </w:style>
  <w:style w:customStyle="1" w:styleId="DocumentationTok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" w:type="character">
    <w:name w:val="AnnotationTok"/>
    <w:rsid w:val="00742A1F"/>
    <w:rPr>
      <w:color w:val="5E5E5E"/>
      <w:shd w:color="auto" w:fill="F1F3F5" w:val="clear"/>
    </w:rPr>
  </w:style>
  <w:style w:customStyle="1" w:styleId="CommentVarTok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" w:type="character">
    <w:name w:val="OtherTok"/>
    <w:rsid w:val="00742A1F"/>
    <w:rPr>
      <w:color w:val="003B4F"/>
      <w:shd w:color="auto" w:fill="F1F3F5" w:val="clear"/>
    </w:rPr>
  </w:style>
  <w:style w:customStyle="1" w:styleId="FunctionTok" w:type="character">
    <w:name w:val="FunctionTok"/>
    <w:rsid w:val="00742A1F"/>
    <w:rPr>
      <w:color w:val="4758AB"/>
      <w:shd w:color="auto" w:fill="F1F3F5" w:val="clear"/>
    </w:rPr>
  </w:style>
  <w:style w:customStyle="1" w:styleId="VariableTok" w:type="character">
    <w:name w:val="VariableTok"/>
    <w:rsid w:val="00742A1F"/>
    <w:rPr>
      <w:color w:val="111111"/>
      <w:shd w:color="auto" w:fill="F1F3F5" w:val="clear"/>
    </w:rPr>
  </w:style>
  <w:style w:customStyle="1" w:styleId="ControlFlowTok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" w:type="character">
    <w:name w:val="OperatorTok"/>
    <w:rsid w:val="00742A1F"/>
    <w:rPr>
      <w:color w:val="5E5E5E"/>
      <w:shd w:color="auto" w:fill="F1F3F5" w:val="clear"/>
    </w:rPr>
  </w:style>
  <w:style w:customStyle="1" w:styleId="BuiltInTok" w:type="character">
    <w:name w:val="BuiltInTok"/>
    <w:rsid w:val="00742A1F"/>
    <w:rPr>
      <w:color w:val="003B4F"/>
      <w:shd w:color="auto" w:fill="F1F3F5" w:val="clear"/>
    </w:rPr>
  </w:style>
  <w:style w:customStyle="1" w:styleId="ExtensionTok" w:type="character">
    <w:name w:val="ExtensionTok"/>
    <w:rsid w:val="00742A1F"/>
    <w:rPr>
      <w:color w:val="003B4F"/>
      <w:shd w:color="auto" w:fill="F1F3F5" w:val="clear"/>
    </w:rPr>
  </w:style>
  <w:style w:customStyle="1" w:styleId="PreprocessorTok" w:type="character">
    <w:name w:val="PreprocessorTok"/>
    <w:rsid w:val="00742A1F"/>
    <w:rPr>
      <w:color w:val="AD0000"/>
      <w:shd w:color="auto" w:fill="F1F3F5" w:val="clear"/>
    </w:rPr>
  </w:style>
  <w:style w:customStyle="1" w:styleId="AttributeTok" w:type="character">
    <w:name w:val="AttributeTok"/>
    <w:rsid w:val="00742A1F"/>
    <w:rPr>
      <w:color w:val="657422"/>
      <w:shd w:color="auto" w:fill="F1F3F5" w:val="clear"/>
    </w:rPr>
  </w:style>
  <w:style w:customStyle="1" w:styleId="RegionMarkerTok" w:type="character">
    <w:name w:val="RegionMarkerTok"/>
    <w:rsid w:val="00742A1F"/>
    <w:rPr>
      <w:color w:val="003B4F"/>
      <w:shd w:color="auto" w:fill="F1F3F5" w:val="clear"/>
    </w:rPr>
  </w:style>
  <w:style w:customStyle="1" w:styleId="InformationTok" w:type="character">
    <w:name w:val="InformationTok"/>
    <w:rsid w:val="00742A1F"/>
    <w:rPr>
      <w:color w:val="5E5E5E"/>
      <w:shd w:color="auto" w:fill="F1F3F5" w:val="clear"/>
    </w:rPr>
  </w:style>
  <w:style w:customStyle="1" w:styleId="WarningTok" w:type="character">
    <w:name w:val="WarningTok"/>
    <w:rsid w:val="00742A1F"/>
    <w:rPr>
      <w:i/>
      <w:color w:val="5E5E5E"/>
      <w:shd w:color="auto" w:fill="F1F3F5" w:val="clear"/>
    </w:rPr>
  </w:style>
  <w:style w:customStyle="1" w:styleId="AlertTok" w:type="character">
    <w:name w:val="AlertTok"/>
    <w:rsid w:val="00742A1F"/>
    <w:rPr>
      <w:color w:val="AD0000"/>
      <w:shd w:color="auto" w:fill="F1F3F5" w:val="clear"/>
    </w:rPr>
  </w:style>
  <w:style w:customStyle="1" w:styleId="ErrorTok" w:type="character">
    <w:name w:val="ErrorTok"/>
    <w:rsid w:val="00742A1F"/>
    <w:rPr>
      <w:color w:val="AD0000"/>
      <w:shd w:color="auto" w:fill="F1F3F5" w:val="clear"/>
    </w:rPr>
  </w:style>
  <w:style w:customStyle="1" w:styleId="NormalTok" w:type="character">
    <w:name w:val="NormalTok"/>
    <w:rsid w:val="00742A1F"/>
    <w:rPr>
      <w:color w:val="003B4F"/>
      <w:shd w:color="auto" w:fill="F1F3F5" w:val="clear"/>
    </w:rPr>
  </w:style>
  <w:style w:customStyle="1" w:styleId="KeywordTok0" w:type="character">
    <w:name w:val="KeywordTok"/>
    <w:rsid w:val="00742A1F"/>
    <w:rPr>
      <w:b/>
      <w:color w:val="003B4F"/>
      <w:shd w:color="auto" w:fill="F1F3F5" w:val="clear"/>
    </w:rPr>
  </w:style>
  <w:style w:customStyle="1" w:styleId="DataTypeTok0" w:type="character">
    <w:name w:val="DataTypeTok"/>
    <w:rsid w:val="00742A1F"/>
    <w:rPr>
      <w:color w:val="AD0000"/>
      <w:shd w:color="auto" w:fill="F1F3F5" w:val="clear"/>
    </w:rPr>
  </w:style>
  <w:style w:customStyle="1" w:styleId="DecValTok0" w:type="character">
    <w:name w:val="DecValTok"/>
    <w:rsid w:val="00742A1F"/>
    <w:rPr>
      <w:color w:val="AD0000"/>
      <w:shd w:color="auto" w:fill="F1F3F5" w:val="clear"/>
    </w:rPr>
  </w:style>
  <w:style w:customStyle="1" w:styleId="BaseNTok0" w:type="character">
    <w:name w:val="BaseNTok"/>
    <w:rsid w:val="00742A1F"/>
    <w:rPr>
      <w:color w:val="AD0000"/>
      <w:shd w:color="auto" w:fill="F1F3F5" w:val="clear"/>
    </w:rPr>
  </w:style>
  <w:style w:customStyle="1" w:styleId="FloatTok0" w:type="character">
    <w:name w:val="FloatTok"/>
    <w:rsid w:val="00742A1F"/>
    <w:rPr>
      <w:color w:val="AD0000"/>
      <w:shd w:color="auto" w:fill="F1F3F5" w:val="clear"/>
    </w:rPr>
  </w:style>
  <w:style w:customStyle="1" w:styleId="ConstantTok0" w:type="character">
    <w:name w:val="ConstantTok"/>
    <w:rsid w:val="00742A1F"/>
    <w:rPr>
      <w:color w:val="8F5902"/>
      <w:shd w:color="auto" w:fill="F1F3F5" w:val="clear"/>
    </w:rPr>
  </w:style>
  <w:style w:customStyle="1" w:styleId="CharTok0" w:type="character">
    <w:name w:val="CharTok"/>
    <w:rsid w:val="00742A1F"/>
    <w:rPr>
      <w:color w:val="20794D"/>
      <w:shd w:color="auto" w:fill="F1F3F5" w:val="clear"/>
    </w:rPr>
  </w:style>
  <w:style w:customStyle="1" w:styleId="SpecialCharTok0" w:type="character">
    <w:name w:val="SpecialCharTok"/>
    <w:rsid w:val="00742A1F"/>
    <w:rPr>
      <w:color w:val="5E5E5E"/>
      <w:shd w:color="auto" w:fill="F1F3F5" w:val="clear"/>
    </w:rPr>
  </w:style>
  <w:style w:customStyle="1" w:styleId="StringTok0" w:type="character">
    <w:name w:val="StringTok"/>
    <w:rsid w:val="00742A1F"/>
    <w:rPr>
      <w:color w:val="20794D"/>
      <w:shd w:color="auto" w:fill="F1F3F5" w:val="clear"/>
    </w:rPr>
  </w:style>
  <w:style w:customStyle="1" w:styleId="VerbatimStringTok0" w:type="character">
    <w:name w:val="VerbatimStringTok"/>
    <w:rsid w:val="00742A1F"/>
    <w:rPr>
      <w:color w:val="20794D"/>
      <w:shd w:color="auto" w:fill="F1F3F5" w:val="clear"/>
    </w:rPr>
  </w:style>
  <w:style w:customStyle="1" w:styleId="SpecialStringTok0" w:type="character">
    <w:name w:val="SpecialStringTok"/>
    <w:rsid w:val="00742A1F"/>
    <w:rPr>
      <w:color w:val="20794D"/>
      <w:shd w:color="auto" w:fill="F1F3F5" w:val="clear"/>
    </w:rPr>
  </w:style>
  <w:style w:customStyle="1" w:styleId="ImportTok0" w:type="character">
    <w:name w:val="ImportTok"/>
    <w:rsid w:val="00742A1F"/>
    <w:rPr>
      <w:color w:val="00769E"/>
      <w:shd w:color="auto" w:fill="F1F3F5" w:val="clear"/>
    </w:rPr>
  </w:style>
  <w:style w:customStyle="1" w:styleId="CommentTok0" w:type="character">
    <w:name w:val="CommentTok"/>
    <w:rsid w:val="00742A1F"/>
    <w:rPr>
      <w:color w:val="5E5E5E"/>
      <w:shd w:color="auto" w:fill="F1F3F5" w:val="clear"/>
    </w:rPr>
  </w:style>
  <w:style w:customStyle="1" w:styleId="DocumentationTok0" w:type="character">
    <w:name w:val="DocumentationTok"/>
    <w:rsid w:val="00742A1F"/>
    <w:rPr>
      <w:i/>
      <w:color w:val="5E5E5E"/>
      <w:shd w:color="auto" w:fill="F1F3F5" w:val="clear"/>
    </w:rPr>
  </w:style>
  <w:style w:customStyle="1" w:styleId="AnnotationTok0" w:type="character">
    <w:name w:val="AnnotationTok"/>
    <w:rsid w:val="00742A1F"/>
    <w:rPr>
      <w:color w:val="5E5E5E"/>
      <w:shd w:color="auto" w:fill="F1F3F5" w:val="clear"/>
    </w:rPr>
  </w:style>
  <w:style w:customStyle="1" w:styleId="CommentVarTok0" w:type="character">
    <w:name w:val="CommentVarTok"/>
    <w:rsid w:val="00742A1F"/>
    <w:rPr>
      <w:i/>
      <w:color w:val="5E5E5E"/>
      <w:shd w:color="auto" w:fill="F1F3F5" w:val="clear"/>
    </w:rPr>
  </w:style>
  <w:style w:customStyle="1" w:styleId="OtherTok0" w:type="character">
    <w:name w:val="OtherTok"/>
    <w:rsid w:val="00742A1F"/>
    <w:rPr>
      <w:color w:val="003B4F"/>
      <w:shd w:color="auto" w:fill="F1F3F5" w:val="clear"/>
    </w:rPr>
  </w:style>
  <w:style w:customStyle="1" w:styleId="FunctionTok0" w:type="character">
    <w:name w:val="FunctionTok"/>
    <w:rsid w:val="00742A1F"/>
    <w:rPr>
      <w:color w:val="4758AB"/>
      <w:shd w:color="auto" w:fill="F1F3F5" w:val="clear"/>
    </w:rPr>
  </w:style>
  <w:style w:customStyle="1" w:styleId="VariableTok0" w:type="character">
    <w:name w:val="VariableTok"/>
    <w:rsid w:val="00742A1F"/>
    <w:rPr>
      <w:color w:val="111111"/>
      <w:shd w:color="auto" w:fill="F1F3F5" w:val="clear"/>
    </w:rPr>
  </w:style>
  <w:style w:customStyle="1" w:styleId="ControlFlowTok0" w:type="character">
    <w:name w:val="ControlFlowTok"/>
    <w:rsid w:val="00742A1F"/>
    <w:rPr>
      <w:b/>
      <w:color w:val="003B4F"/>
      <w:shd w:color="auto" w:fill="F1F3F5" w:val="clear"/>
    </w:rPr>
  </w:style>
  <w:style w:customStyle="1" w:styleId="OperatorTok0" w:type="character">
    <w:name w:val="OperatorTok"/>
    <w:rsid w:val="00742A1F"/>
    <w:rPr>
      <w:color w:val="5E5E5E"/>
      <w:shd w:color="auto" w:fill="F1F3F5" w:val="clear"/>
    </w:rPr>
  </w:style>
  <w:style w:customStyle="1" w:styleId="BuiltInTok0" w:type="character">
    <w:name w:val="BuiltInTok"/>
    <w:rsid w:val="00742A1F"/>
    <w:rPr>
      <w:color w:val="003B4F"/>
      <w:shd w:color="auto" w:fill="F1F3F5" w:val="clear"/>
    </w:rPr>
  </w:style>
  <w:style w:customStyle="1" w:styleId="ExtensionTok0" w:type="character">
    <w:name w:val="ExtensionTok"/>
    <w:rsid w:val="00742A1F"/>
    <w:rPr>
      <w:color w:val="003B4F"/>
      <w:shd w:color="auto" w:fill="F1F3F5" w:val="clear"/>
    </w:rPr>
  </w:style>
  <w:style w:customStyle="1" w:styleId="PreprocessorTok0" w:type="character">
    <w:name w:val="PreprocessorTok"/>
    <w:rsid w:val="00742A1F"/>
    <w:rPr>
      <w:color w:val="AD0000"/>
      <w:shd w:color="auto" w:fill="F1F3F5" w:val="clear"/>
    </w:rPr>
  </w:style>
  <w:style w:customStyle="1" w:styleId="AttributeTok0" w:type="character">
    <w:name w:val="AttributeTok"/>
    <w:rsid w:val="00742A1F"/>
    <w:rPr>
      <w:color w:val="657422"/>
      <w:shd w:color="auto" w:fill="F1F3F5" w:val="clear"/>
    </w:rPr>
  </w:style>
  <w:style w:customStyle="1" w:styleId="RegionMarkerTok0" w:type="character">
    <w:name w:val="RegionMarkerTok"/>
    <w:rsid w:val="00742A1F"/>
    <w:rPr>
      <w:color w:val="003B4F"/>
      <w:shd w:color="auto" w:fill="F1F3F5" w:val="clear"/>
    </w:rPr>
  </w:style>
  <w:style w:customStyle="1" w:styleId="InformationTok0" w:type="character">
    <w:name w:val="InformationTok"/>
    <w:rsid w:val="00742A1F"/>
    <w:rPr>
      <w:color w:val="5E5E5E"/>
      <w:shd w:color="auto" w:fill="F1F3F5" w:val="clear"/>
    </w:rPr>
  </w:style>
  <w:style w:customStyle="1" w:styleId="WarningTok0" w:type="character">
    <w:name w:val="WarningTok"/>
    <w:rsid w:val="00742A1F"/>
    <w:rPr>
      <w:i/>
      <w:color w:val="5E5E5E"/>
      <w:shd w:color="auto" w:fill="F1F3F5" w:val="clear"/>
    </w:rPr>
  </w:style>
  <w:style w:customStyle="1" w:styleId="AlertTok0" w:type="character">
    <w:name w:val="AlertTok"/>
    <w:rsid w:val="00742A1F"/>
    <w:rPr>
      <w:color w:val="AD0000"/>
      <w:shd w:color="auto" w:fill="F1F3F5" w:val="clear"/>
    </w:rPr>
  </w:style>
  <w:style w:customStyle="1" w:styleId="ErrorTok0" w:type="character">
    <w:name w:val="ErrorTok"/>
    <w:rsid w:val="00742A1F"/>
    <w:rPr>
      <w:color w:val="AD0000"/>
      <w:shd w:color="auto" w:fill="F1F3F5" w:val="clear"/>
    </w:rPr>
  </w:style>
  <w:style w:customStyle="1" w:styleId="NormalTok0" w:type="character">
    <w:name w:val="NormalTok"/>
    <w:rsid w:val="00742A1F"/>
    <w:rPr>
      <w:color w:val="003B4F"/>
      <w:shd w:color="auto" w:fill="F1F3F5"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30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2026-07-27T15:10:55Z</dcterms:created>
  <dcterms:modified xsi:type="dcterms:W3CDTF">2026-07-27T15:10:55Z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