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</w:t>
      </w:r>
    </w:p>
    <w:p>
      <w:pPr>
        <w:pStyle w:val="ipcpara0"/>
      </w:pPr>
      <w:r>
        <w:t xml:space="preserve">في شهر ماي 2026 انخفضت أسعار الاستهلاك على المستوى الوطني بنسبة (0.9’% ) خلال شهر واحد في حين ارتفعت أسعار الاستهلاك بما يقارب (1.2%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2’% في شهر ماي 2026 مقارنة بشهر ابريل .2026 ويعزى ذلك الى انخفاض أثمان .</w:t>
      </w:r>
      <w:r>
        <w:rPr>
          <w:b/>
          <w:bCs/>
        </w:rPr>
        <w:t xml:space="preserve">الخضراوات</w:t>
      </w:r>
      <w:r>
        <w:t xml:space="preserve">ب8.6%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ب3.7%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ب1.9%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ب1.7%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ب0.8% ‏ و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ب0.4% ‏</w:t>
      </w:r>
    </w:p>
    <w:p>
      <w:pPr>
        <w:pStyle w:val="ipccorps"/>
      </w:pPr>
      <w:r>
        <w:t xml:space="preserve">استقر التغير الشهري لمؤشر المواد غير الغذائية، و ذلك بفعل استقرار أثمان المواد المكونة للأقسام التالية :</w:t>
      </w:r>
      <w:r>
        <w:t xml:space="preserve"> </w:t>
      </w:r>
      <w:r>
        <w:rPr>
          <w:b/>
          <w:bCs/>
        </w:rPr>
        <w:t xml:space="preserve">صحة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تعليم</w:t>
      </w:r>
      <w:r>
        <w:t xml:space="preserve">ب0%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-0.7%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ب24.5%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ب1.2%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ب1%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ب0.7%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ب0.5%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ب7.2%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ب6.4%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ب4.3%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ب3.5%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ب0.8%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2.6 %،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ب0.3% ‏ بينما ارتفع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ب8.1% ‏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ماي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ماي 2026 ارتفع الرقم الاستدلالي للأثمان عند الاستهلاك</w:t>
      </w:r>
      <w:r>
        <w:t xml:space="preserve"> </w:t>
      </w:r>
      <w:r>
        <w:t xml:space="preserve">ب 1.2 % مقارنة بشهر ماي 2025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ماي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ماي 2026 انخفظ الرقم الاستدلالي للأثمان عند الاستهلاك</w:t>
      </w:r>
      <w:r>
        <w:t xml:space="preserve"> </w:t>
      </w:r>
      <w:r>
        <w:t xml:space="preserve">ب 0.9 % مقارنة بشهر ابريل 2026</w:t>
      </w:r>
    </w:p>
    <w:p>
      <w:pPr>
        <w:pStyle w:val="ipcpara0"/>
      </w:pPr>
      <w:r>
        <w:t xml:space="preserve">الرقم الاستدلالي للأثمان عند الاستهلاك لمدينة ماي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2026-07-27T15:11:27Z</dcterms:created>
  <dcterms:modified xsi:type="dcterms:W3CDTF">2026-07-27T15:11:27Z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