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June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June 2026, the national consumer price index decreased by 1% compared to the previous month, while the consumer price index increased by 1.1%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 decrease of 1.6% during the month of June 2026 compared to the previous month. as a result of the decline in prices of «Fish and Seafood» by 5,1%, «Vegetables» by 4,0%, «Fruits» by 2,8%, «Meat» by 2,4%, «Food Productsnot elsewhere classified» by 1,7% and «Milk, Cheese and Eggs» by 0,2%</w:t>
      </w:r>
    </w:p>
    <w:p>
      <w:pPr>
        <w:pStyle w:val="ipccorps"/>
      </w:pPr>
      <w:r>
        <w:t xml:space="preserve">Similarly, the monthly variation in the non-food index decreased by abs(evol_non_alim_1mois)% due to price decreases in the following divisions: «Transportation» by 3,0%, «Clothing and Shoes» by 0,9% and «Housing, Water, Gas, Electricity and Other Fuels» and «Various Goods and Services» by 0,2%.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-1.3% in June 2026 compared to June 2025 , due to the decrease in the prices of «Oils and Fats» by 18,9%, «Milk, Cheese and Eggs» by 3,1%, «Vegetables» by 1,9%, «Fish and Seafood» by 0,7% and «Bread and Cereals» and «Catering Services» by 0,1%. Moreover, the rise in prices of «Meat» by 5,5%, «Tobacco» by 4,0%, «Sugar, Jam, Honey, Chocolate and Confectionery» by 1,8%, «Fruits», «Cafe and Tea and Cocoa» by 0,9% and «Mineral Waters, Soft Drinks, Fruit and Vegetable Juices (Nd)» by 0,7% and the stagnation in prices for «Food Productsnot elsewhere classified» by 0,0% did not affect the general evolution.</w:t>
      </w:r>
    </w:p>
    <w:p>
      <w:pPr>
        <w:pStyle w:val="ipccorps"/>
      </w:pPr>
      <w:r>
        <w:t xml:space="preserve">On the other hand, the annual variation in the non-food index increased by 3.2%. While the variation in prices of the divisions that make up non-food products fluctuated between a decrease of the division of «Leisure and Culture» by 1,1% and the rise of the division of «Education» by 10,9%</w:t>
      </w:r>
    </w:p>
    <w:p>
      <w:pPr>
        <w:pStyle w:val="ipctitre0"/>
      </w:pPr>
      <w:r>
        <w:t xml:space="preserve">3- Annual evolution (%) of the consumer price index for the month of June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increased by 1.1% compared to June 2025</w:t>
      </w:r>
    </w:p>
    <w:p>
      <w:pPr>
        <w:pStyle w:val="ipctitre0"/>
      </w:pPr>
      <w:r>
        <w:t xml:space="preserve">4- Annual evolution (%) of the consumer price index for the month of June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June 2026, the consumer price index decreased by 1% compared to May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June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March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April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2026-08-13T15:17:20Z</dcterms:created>
  <dcterms:modified xsi:type="dcterms:W3CDTF">2026-08-13T15:17:20Z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