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يونيو 2026 انخفضت أسعار الاستهلاك على المستوى الوطني بنسبة (0.4’% ) خلال شهر واحد في حين ارتفعت أسعار الاستهلاك بما يقارب (0.3% ) خلال سنة كاملة.</w:t>
      </w:r>
    </w:p>
    <w:p>
      <w:pPr>
        <w:pStyle w:val="ipccorps"/>
      </w:pPr>
      <w:r>
        <w:t xml:space="preserve">على المستوى الشهري انخفض الرقم الاستدلالي للمواد الغذائية ب 0.8’% في شهر يونيو 2026 مقارنة بشهر ماي .2026 ويعزى ذلك الى انخفاض أثمان .</w:t>
      </w:r>
      <w:r>
        <w:rPr>
          <w:b/>
          <w:bCs/>
        </w:rPr>
        <w:t xml:space="preserve">الخضراوات</w:t>
      </w:r>
      <w:r>
        <w:t xml:space="preserve">ب5,2%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ب0,1% ‏</w:t>
      </w:r>
    </w:p>
    <w:p>
      <w:pPr>
        <w:pStyle w:val="ipccorps"/>
      </w:pPr>
      <w:r>
        <w:t xml:space="preserve">كما، انخفض التغير الشهري للرقم الاستدلالي للمواد غير الغذائية ب ( abs(evol_non_alim_1mois) 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ب23,3%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ب0,5%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ب6,7%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ب2,3%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ب1,5%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ب0,8%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ب0,0% ‏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ب0,3%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ب6,7%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../../Rapports_mensuels/Mois2026_06/Graphique_variation_annuelle2026_06_Ville99_ar.png</w:t>
      </w:r>
    </w:p>
    <w:p>
      <w:pPr>
        <w:pStyle w:val="ipccorps"/>
      </w:pPr>
      <w:r>
        <w:t xml:space="preserve">في يونيو 2026 ارتفع الرقم الاستدلالي للأثمان عند الاستهلاك</w:t>
      </w:r>
      <w:r>
        <w:t xml:space="preserve"> </w:t>
      </w:r>
      <w:r>
        <w:t xml:space="preserve">ب 0.3 % مقارنة بشهر يونيو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../../Rapports_mensuels/Mois2026_06/Graphique_variation_mensuelle2026_06_Ville99_ar.png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0.4 % مقارنة بشهر ماي 2026</w:t>
      </w:r>
    </w:p>
    <w:p>
      <w:pPr>
        <w:pStyle w:val="ipcpara0"/>
      </w:pPr>
      <w:r>
        <w:t xml:space="preserve">الرقم الاستدلالي للأثمان عند الاستهلاك لمدينة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2026-08-13T15:18:49Z</dcterms:created>
  <dcterms:modified xsi:type="dcterms:W3CDTF">2026-08-13T15:18:49Z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