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يونيو 2026 انخفضت أسعار الاستهلاك على المستوى الوطني بنسبة (1’% ) خلال شهر واحد في حين ارتفعت أسعار الاستهلاك بما يقارب (1.1%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1.6’% في شهر يونيو 2026 مقارنة بشهر ماي .2026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ب2,4%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ب1,7%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ب0,2%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ب3,0%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ب0,1%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ب0,0% ‏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3.2 %،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ب1,1%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ب10,9%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../../Rapports_mensuels/Mois2026_06/Graphique_variation_annuelle2026_06_Ville08_ar.png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1.1 % مقارنة بشهر يونيو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../../Rapports_mensuels/Mois2026_06/Graphique_variation_mensuelle2026_06_Ville08_ar.png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1 % مقارنة بشهر ماي 2026</w:t>
      </w:r>
    </w:p>
    <w:p>
      <w:pPr>
        <w:pStyle w:val="ipcpara0"/>
      </w:pPr>
      <w:r>
        <w:t xml:space="preserve">جدول 3: الرقم الاستدلالي للأثمان عند الاستهلاك لمدينة تطوان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2026-08-12T10:21:11Z</dcterms:created>
  <dcterms:modified xsi:type="dcterms:W3CDTF">2026-08-12T10:21:11Z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