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d’Al Hoceima a décru de 1.3% par rapport au mois précédent. En glissement annuel, il a décru de 0.6%.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2.2% en Juin 2026 par rapport à Mai 2026, résultat de la baisse des prix des «Légumes» de 11,6%, des «Fruits» de 2,3%, des «Poisson et fruits de mer» de 2,2% et du «Lait, fromage et œufs» de 1,4%.</w:t>
      </w:r>
    </w:p>
    <w:p>
      <w:pPr>
        <w:pStyle w:val="ipccorps"/>
      </w:pPr>
      <w:r>
        <w:t xml:space="preserve">De même, la variation mensuelle de l’indice des produits non alimentaires a décru de 0.2% en raison de la baisse des prix des divisions suivantes: des «Transports» de 1,7% et des «Biens et services divers» de 0,4%. Aussi la hausse hausse des prix des «Restaurants et hôtels» de 2,6%.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-3.2% en Juin 2026 par rapport à Juin 2025, sous l’effet de la diminution des</w:t>
      </w:r>
      <w:r>
        <w:t xml:space="preserve"> </w:t>
      </w:r>
      <w:r>
        <w:t xml:space="preserve">prix des «Huiles et graisses» de 31,6%, du «Lait, fromage et œufs» de 4,5%, des «Légumes» de 3,1%, des «Fruits» de 1,6%, des «Pain et céréales» et des «Services de restauration» de 0,8% et des «Produits alimentaires n.c.a.» de 0,2%. Par ailleurs, l’augmentation des prix du «Café, thé et cacao» de 13,7%, des «Viande» de 6,7%, des «Poisson et fruits de mer» de 5,1%, des «Tabac» de 5,0%, des «Eaux minerales, boissons rafraichissantes, jus de fruits et de légumes (nd)» de 1,0% et des «Sucre, confiture, miel, chocolat et confiserie» de 0,6% et la stagnation des prix NA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3.1%. Alors que la variation des prix des divisions qui constituent les produits non alimentaires a fluctué entre une diminution de la division de 0,4% pour la division des «Meubles, articles de ménage et entretien courant du foyer» et une augmentation de la division de 10,4% pour la division des «Transports»</w:t>
      </w:r>
    </w:p>
    <w:p>
      <w:pPr>
        <w:pStyle w:val="ipctitre0"/>
      </w:pPr>
      <w:r>
        <w:t xml:space="preserve">4-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7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décru de 0.6% par rapport à Juin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7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diminué de 1.3% par rapport à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d’Al Hoceima: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2026-08-12T10:22:10Z</dcterms:created>
  <dcterms:modified xsi:type="dcterms:W3CDTF">2026-08-12T10:22:10Z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