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</w:t>
      </w:r>
    </w:p>
    <w:p>
      <w:pPr>
        <w:pStyle w:val="ipcpara0"/>
      </w:pPr>
      <w:r>
        <w:t xml:space="preserve">في شهر يونيو 2026 انخفضت أسعار الاستهلاك على المستوى الوطني بنسبة (0.4’% ) خلال شهر واحد في حين ارتفعت أسعار الاستهلاك بما يقارب (0.3%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0.8’% في شهر يونيو 2026 مقارنة بشهر ماي .2026 ويعزى ذلك الى انخفاض أثمان .</w:t>
      </w:r>
      <w:r>
        <w:rPr>
          <w:b/>
          <w:bCs/>
        </w:rPr>
        <w:t xml:space="preserve">الخضراوات</w:t>
      </w:r>
      <w:r>
        <w:t xml:space="preserve">ب5,2%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ب1,9%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ب0,4%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ب0,3% ‏ و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ب0,1% ‏</w:t>
      </w:r>
    </w:p>
    <w:p>
      <w:pPr>
        <w:pStyle w:val="ipccorps"/>
      </w:pPr>
      <w:r>
        <w:t xml:space="preserve">كما، انخفض التغير الشهري للرقم الاستدلالي للمواد غير الغذائية ب ( abs(evol_non_alim_1mois) % ) جراء انخفاض أثمان الأقسام التالية: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ب1,0% ‏ و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الترفيه والثقافة</w:t>
      </w:r>
      <w:r>
        <w:t xml:space="preserve">ب0,1%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-2.3%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ب23,3%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ب1,6% ‏ و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ب0,5%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ب6,7%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ب4,0%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ب3,1% ‏،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ب2,3%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ب1,5%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ب0,8%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اللحم</w:t>
      </w:r>
      <w:r>
        <w:t xml:space="preserve"> </w:t>
      </w:r>
      <w:r>
        <w:t xml:space="preserve">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ب0,0% ‏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2.3 %،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الاتصالات</w:t>
      </w:r>
      <w:r>
        <w:t xml:space="preserve">ب0,3%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ب6,7% ‏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../../Rapports_mensuels/Mois2026_06/Graphique_variation_annuelle2026_06_Ville99_ar.png</w:t>
      </w:r>
    </w:p>
    <w:p>
      <w:pPr>
        <w:pStyle w:val="ipccorps"/>
      </w:pPr>
      <w:r>
        <w:t xml:space="preserve">في يونيو 2026 ارتفع الرقم الاستدلالي للأثمان عند الاستهلاك</w:t>
      </w:r>
      <w:r>
        <w:t xml:space="preserve"> </w:t>
      </w:r>
      <w:r>
        <w:t xml:space="preserve">ب 0.3 % مقارنة بشهر يونيو 2025</w:t>
      </w:r>
    </w:p>
    <w:p>
      <w:pPr>
        <w:pStyle w:val="ipctitre0"/>
      </w:pPr>
      <w:r>
        <w:t xml:space="preserve">تطور معدل التغير السنوي (%) للرقم الاستدلالي للأثمان عند الاستهلاك لشهر يونيو</w:t>
      </w:r>
    </w:p>
    <w:p>
      <w:pPr>
        <w:pStyle w:val="SourceCode"/>
      </w:pPr>
      <w:r>
        <w:rPr>
          <w:rStyle w:val="VerbatimChar"/>
        </w:rPr>
        <w:t xml:space="preserve">../../Rapports_mensuels/Mois2026_06/Graphique_variation_mensuelle2026_06_Ville99_ar.png</w:t>
      </w:r>
    </w:p>
    <w:p>
      <w:pPr>
        <w:pStyle w:val="ipccorps"/>
      </w:pPr>
      <w:r>
        <w:t xml:space="preserve">في يونيو 2026 انخفظ الرقم الاستدلالي للأثمان عند الاستهلاك</w:t>
      </w:r>
      <w:r>
        <w:t xml:space="preserve"> </w:t>
      </w:r>
      <w:r>
        <w:t xml:space="preserve">ب 0.4 % مقارنة بشهر ماي 2026</w:t>
      </w:r>
    </w:p>
    <w:p>
      <w:pPr>
        <w:pStyle w:val="ipcpara0"/>
      </w:pPr>
      <w:r>
        <w:t xml:space="preserve">الرقم الاستدلالي للأثمان عند الاستهلاك لمدينة يونيو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144,9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2026-08-12T10:22:48Z</dcterms:created>
  <dcterms:modified xsi:type="dcterms:W3CDTF">2026-08-12T10:22:48Z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