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9072"/>
        <w:gridCol w:w="2268"/>
      </w:tblGrid>
      <w:tr>
        <w:trPr>
          <w:trHeight w:val="360" w:hRule="atLeast"/>
        </w:trPr>
        <w:tc>
          <w:tcPr>
            <w:tcW w:w="9072" w:type="dxa"/>
            <w:tcBorders>
              <w:bottom w:val="single" w:sz="12" w:space="0" w:color="F8A18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Indice des prix à la consommation - Juillet 2026</w:t>
            </w:r>
          </w:p>
        </w:tc>
        <w:tc>
          <w:tcPr>
            <w:tcW w:w="2268" w:type="dxa"/>
            <w:tcBorders>
              <w:bottom w:val="single" w:sz="12" w:space="0" w:color="F8A180"/>
            </w:tcBorders>
            <w:shd w:color="auto" w:fill="F8A180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Ville de Tétouan</w:t>
            </w:r>
          </w:p>
        </w:tc>
      </w:tr>
    </w:tbl>
    <w:p>
      <w:pPr>
        <w:pStyle w:val="ipcpara0"/>
        <w:rPr/>
      </w:pPr>
      <w:r>
        <w:rPr/>
        <w:t>En Juillet 2026, l’indice des prix à la consommation des ménages de la ville de Tétouan a décru de 0.7% par rapport au mois précédent. En glissement annuel, il a accru de 0.1%.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formProt w:val="false"/>
          <w:textDirection w:val="lrTb"/>
          <w:docGrid w:type="default" w:linePitch="312" w:charSpace="10239"/>
        </w:sectPr>
      </w:pPr>
    </w:p>
    <w:p>
      <w:pPr>
        <w:pStyle w:val="ipccorps"/>
        <w:rPr/>
      </w:pPr>
      <w:r>
        <w:rPr>
          <w:b/>
          <w:bCs/>
        </w:rPr>
        <w:t>Sur un mois,</w:t>
      </w:r>
      <w:r>
        <w:rPr/>
        <w:t xml:space="preserve"> l’indice des prix des produits alimentaires a diminué de 1.5% en Juillet 2026 par rapport à Juin 2026, résultat de la baisse des prix des «Légumes» de 7,1%, des «Fruits» de 4,4%, du «Lait, fromage et œufs» de 0,8%, des «Pain et céréales», des «Services de restauration», du «Café et thé et cacao» de 0,6%, des «Viande» de 0,5%, des «Produits alimentaires n.c.a.» de 0,4%, des «Huiles et graisses» de 0,2% et des «Eaux minerales, boissons rafraichissantes, jus de fruits et de légumes (nd)» de 0,1%.</w:t>
      </w:r>
    </w:p>
    <w:p>
      <w:pPr>
        <w:pStyle w:val="ipccorps"/>
        <w:rPr/>
      </w:pPr>
      <w:r>
        <w:rPr/>
        <w:t>De même, la variation mensuelle de l’indice des produits non alimentaires a décru de 0.1% en raison de la baisse des prix des divisions suivantes: des «Transports» de 1,9%, des «Articles d’habillement et chaussures» de 0,4% et des «Meubles, articles de ménage et entretien courant du foyer» et des «Loisirs et culture» de 0,2%. Aussi la hausse hausse des prix des «Restaurants et hôtels» de 4,9%, des «Communications» de 0,3% et des «Logement, eau, gaz, électricité et autres combustibles» et des «Biens et services divers» de 0,1%. Ainsi que, la stagnation des indices des autres divisions n’ont pas impacté l’évolution générale.</w:t>
      </w:r>
    </w:p>
    <w:p>
      <w:pPr>
        <w:pStyle w:val="ipccorps"/>
        <w:rPr/>
      </w:pPr>
      <w:r>
        <w:rPr>
          <w:b/>
          <w:bCs/>
        </w:rPr>
        <w:t>Sur un an,</w:t>
      </w:r>
      <w:r>
        <w:rPr/>
        <w:t xml:space="preserve"> l’indice des prix des produits alimentaires a baissé de -2.9% en Juillet 2026 par rapport à Juillet 2025, sous l’effet de la diminution des prix des «Huiles et graisses» de 19,0%, du «Lait, fromage et œufs» de 5,6%, des «Légumes» de 4,3%, des «Poisson et fruits de mer» de 4,1%, des «Fruits» de 3,5% et des «Produits alimentaires n.c.a.» de 0,3%. Par ailleurs, l’augmentation des prix des «Tabac» de 4,0%, des «Viande» de 3,6%, des «Sucre, confiture, miel, chocolat et confiserie» de 2,1% et du «Café, thé et cacao», des «Eaux minerales, boissons rafraichissantes et jus de fruits et de légumes (nd)» de 0,4% et la stagnation des prix des «Pain et céréales» et des «Services de restauration» de 0,0% n’ont pas affecté l’évolution générale.</w:t>
      </w:r>
    </w:p>
    <w:p>
      <w:pPr>
        <w:pStyle w:val="ipccorps"/>
        <w:rPr/>
      </w:pPr>
      <w:r>
        <w:rPr/>
        <w:t>Par ailleurs, la variation annuelle de l’indice des produits non alimentaires a augmenté de 2.8%. Alors que la variation des prix des divisions qui constituent les produits non alimentaires a fluctué entre une diminution de la division de 1,2% pour la division des «Loisirs et culture» et une augmentation de la division de 10,9% pour la division des «Enseignement»</w:t>
      </w:r>
    </w:p>
    <w:p>
      <w:pPr>
        <w:pStyle w:val="ipctitre0"/>
        <w:rPr/>
      </w:pPr>
      <w:r>
        <w:rPr/>
        <w:t>3- Évolution du taux de la variation annuelle (%) de l’indice des prix à la consommation pour le mois De Juillet</w:t>
      </w:r>
    </w:p>
    <w:p>
      <w:pPr>
        <w:pStyle w:val="BodyText"/>
        <w:rPr/>
      </w:pPr>
      <w:r>
        <w:rPr/>
        <w:drawing>
          <wp:inline distT="0" distB="0" distL="0" distR="0">
            <wp:extent cx="3347720" cy="206311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Lecture:</w:t>
      </w:r>
      <w:r>
        <w:rPr/>
        <w:t xml:space="preserve"> En Juillet 2026, l’indice des prix à la consommation a augmenté de 0.1% par rapport à Juillet 2025</w:t>
      </w:r>
    </w:p>
    <w:p>
      <w:pPr>
        <w:pStyle w:val="ipctitre0"/>
        <w:rPr/>
      </w:pPr>
      <w:r>
        <w:rPr/>
        <w:t>4- Évolution de la variation mensuelle (%) de l’indice des prix à la consommation</w:t>
      </w:r>
    </w:p>
    <w:p>
      <w:pPr>
        <w:pStyle w:val="BodyText"/>
        <w:rPr/>
      </w:pPr>
      <w:r>
        <w:rPr/>
        <w:drawing>
          <wp:inline distT="0" distB="0" distL="0" distR="0">
            <wp:extent cx="3347720" cy="25234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Lecture:</w:t>
      </w:r>
      <w:r>
        <w:rPr/>
        <w:t xml:space="preserve"> En Juillet 2026, l’indice des prix à la consommation a diminué de 0.7% par rapport à Juin 2026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cols w:num="2" w:space="200" w:equalWidth="true" w:sep="false"/>
          <w:formProt w:val="false"/>
          <w:textDirection w:val="lrTb"/>
          <w:docGrid w:type="default" w:linePitch="312" w:charSpace="10239"/>
        </w:sectPr>
      </w:pPr>
    </w:p>
    <w:p>
      <w:pPr>
        <w:pStyle w:val="ipcpara0"/>
        <w:rPr/>
      </w:pPr>
      <w:r>
        <w:rPr/>
        <w:t>Tableau 3: Indice des prix à la consommation de la ville de Tétouan: Juillet 2026 (base 2017: 100)</w:t>
      </w:r>
    </w:p>
    <w:tbl>
      <w:tblPr>
        <w:tblW w:w="1122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blHeader w:val="true"/>
          <w:trHeight w:val="397" w:hRule="exact"/>
        </w:trPr>
        <w:tc>
          <w:tcPr>
            <w:tcW w:w="3969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Divisions de produits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Pondérations</w:t>
            </w:r>
          </w:p>
        </w:tc>
        <w:tc>
          <w:tcPr>
            <w:tcW w:w="453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Indices mensuels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Variation (%)</w:t>
            </w:r>
          </w:p>
        </w:tc>
      </w:tr>
      <w:tr>
        <w:trPr>
          <w:tblHeader w:val="true"/>
          <w:trHeight w:val="397" w:hRule="exact"/>
        </w:trPr>
        <w:tc>
          <w:tcPr>
            <w:tcW w:w="3969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1020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Juillet 2025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Avril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Mai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Juin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Juillet 2026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 mois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 mois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mois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Produits alimentaires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40,725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134,0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136,5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134,2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132,1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130,1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-1,5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-2,9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01 - Produits alimentaires et boissons non alcoolisées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38,964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133,5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135,8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133,4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129,1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-1,6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-4,9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-3,3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02 - Boissons alcoolisées et tabac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1,761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146,1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152,0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152,0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152,0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152,0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4,0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Produits non alimentaires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59,275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114,2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-0,5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2,8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03 - Articles d'habillements et chaussures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5,835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113,1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114,0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112,2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111,8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-1,9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04 - Logement, eau, gaz, électricité et autres combustibles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14,202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1,6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05 - Meubles, articles de ménages et entretien courant du foyer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5,602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111,4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0,6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06 – Santé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6,594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103,0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-0,5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07 – Transport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7,416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127,1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-6,0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08 – Communications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2,560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97,6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09 - Loisirs et culture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2,432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106,7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106,5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105,4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-0,2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-1,2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 – Enseignement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5,358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10,9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11 - Restaurants et hôtels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2,468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4,9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9,7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12 - Biens et services divers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6,808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119,4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122,4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122,5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2,6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Indice général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100,000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123,7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122,8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121,6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120,7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-0,7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-2,4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</w:tr>
    </w:tbl>
    <w:p>
      <w:pPr>
        <w:pStyle w:val="ipclegendetableau"/>
        <w:spacing w:before="0" w:after="160"/>
        <w:rPr/>
      </w:pPr>
      <w:r>
        <w:rPr>
          <w:u w:val="single"/>
        </w:rPr>
        <w:t>Source:</w:t>
      </w:r>
      <w:r>
        <w:rPr/>
        <w:t xml:space="preserve"> Haut-Commissariat au Plan, Direction de la Statistique – Enquête Nationale sur les Prix à la Consommation.</w:t>
      </w:r>
    </w:p>
    <w:sectPr>
      <w:type w:val="continuous"/>
      <w:pgSz w:w="11906" w:h="16838"/>
      <w:pgMar w:left="283" w:right="283" w:gutter="0" w:header="0" w:top="284" w:footer="0" w:bottom="284"/>
      <w:formProt w:val="false"/>
      <w:textDirection w:val="lrTb"/>
      <w:docGrid w:type="default" w:linePitch="312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81e"/>
    <w:pPr>
      <w:widowControl/>
      <w:suppressAutoHyphens w:val="true"/>
      <w:bidi w:val="0"/>
      <w:spacing w:lineRule="auto" w:line="259" w:before="0" w:after="160"/>
      <w:jc w:val="left"/>
    </w:pPr>
    <w:rPr>
      <w:rFonts w:eastAsia="Aptos" w:cs="Arial" w:asciiTheme="majorBidi" w:hAnsiTheme="majorBidi"/>
      <w:b/>
      <w:color w:val="8D4354"/>
      <w:kern w:val="2"/>
      <w:sz w:val="16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legendeCar" w:customStyle="1">
    <w:name w:val="ipc_legende Car"/>
    <w:basedOn w:val="DefaultParagraphFont"/>
    <w:link w:val="ipclegende"/>
    <w:qFormat/>
    <w:rsid w:val="00043809"/>
    <w:rPr>
      <w:rFonts w:ascii="Times New Roman" w:hAnsi="Times New Roman" w:eastAsia="Aptos" w:cs="Arial"/>
      <w:b/>
      <w:bCs/>
      <w:spacing w:val="13"/>
      <w:sz w:val="16"/>
    </w:rPr>
  </w:style>
  <w:style w:type="character" w:styleId="ipctitre0Car" w:customStyle="1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styleId="ipccorpsCar" w:customStyle="1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styleId="ipcpara0Car" w:customStyle="1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SubtleEmphasis">
    <w:name w:val="Subtle Emphasis"/>
    <w:basedOn w:val="DefaultParagraphFont"/>
    <w:uiPriority w:val="19"/>
    <w:qFormat/>
    <w:rsid w:val="00a14a34"/>
    <w:rPr>
      <w:i/>
      <w:iCs/>
      <w:color w:themeColor="text1" w:themeTint="7f" w:val="808080"/>
    </w:rPr>
  </w:style>
  <w:style w:type="character" w:styleId="ipclegendetableauCar" w:customStyle="1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Hyperlink">
    <w:name w:val="Hyperlink"/>
    <w:rsid w:val="00a204fc"/>
    <w:rPr>
      <w:color w:val="000080"/>
      <w:u w:val="single"/>
    </w:rPr>
  </w:style>
  <w:style w:type="character" w:styleId="ipcpiedpageCar" w:customStyle="1">
    <w:name w:val="ipc_pied_page Car"/>
    <w:basedOn w:val="DefaultParagraphFont"/>
    <w:link w:val="ipcpiedpage"/>
    <w:qFormat/>
    <w:rsid w:val="00b876b3"/>
    <w:rPr>
      <w:rFonts w:eastAsia="Aptos" w:cs="Arial" w:asciiTheme="majorBidi" w:hAnsiTheme="majorBidi"/>
      <w:b/>
      <w:sz w:val="16"/>
      <w:lang w:bidi="ar-MA"/>
    </w:rPr>
  </w:style>
  <w:style w:type="character" w:styleId="ipcpiedpageinlineCar" w:customStyle="1">
    <w:name w:val="ipc_pied_page_inline Car"/>
    <w:basedOn w:val="ipcpiedpageCar"/>
    <w:link w:val="ipcpiedpageinline"/>
    <w:qFormat/>
    <w:rsid w:val="00160c25"/>
    <w:rPr>
      <w:b/>
      <w:u w:val="singl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a204fc"/>
    <w:pPr>
      <w:spacing w:lineRule="auto" w:line="276" w:before="0" w:after="140"/>
    </w:pPr>
    <w:rPr/>
  </w:style>
  <w:style w:type="paragraph" w:styleId="List">
    <w:name w:val="List"/>
    <w:basedOn w:val="BodyText"/>
    <w:rsid w:val="00a204fc"/>
    <w:pPr/>
    <w:rPr>
      <w:rFonts w:cs="Lucida Sans"/>
    </w:rPr>
  </w:style>
  <w:style w:type="paragraph" w:styleId="Caption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rsid w:val="00a204fc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legende" w:customStyle="1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styleId="ipctitre0" w:customStyle="1">
    <w:name w:val="ipc_titre_0"/>
    <w:link w:val="ipctitre0Car"/>
    <w:qFormat/>
    <w:rsid w:val="00ae7a36"/>
    <w:pPr>
      <w:widowControl/>
      <w:suppressAutoHyphens w:val="true"/>
      <w:bidi w:val="0"/>
      <w:spacing w:lineRule="auto" w:line="259" w:before="0" w:after="160"/>
      <w:jc w:val="center"/>
    </w:pPr>
    <w:rPr>
      <w:rFonts w:ascii="Times New Roman" w:hAnsi="Times New Roman" w:eastAsia="Aptos" w:cs="Arial"/>
      <w:b/>
      <w:bCs/>
      <w:color w:val="CA400A"/>
      <w:spacing w:val="13"/>
      <w:kern w:val="2"/>
      <w:sz w:val="20"/>
      <w:szCs w:val="22"/>
      <w:lang w:val="fr-FR" w:eastAsia="en-US" w:bidi="ar-SA"/>
    </w:rPr>
  </w:style>
  <w:style w:type="paragraph" w:styleId="ipccorps" w:customStyle="1">
    <w:name w:val="ipc_corps"/>
    <w:link w:val="ipccorpsCar"/>
    <w:qFormat/>
    <w:rsid w:val="00a809a4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bCs/>
      <w:color w:val="auto"/>
      <w:spacing w:val="13"/>
      <w:kern w:val="2"/>
      <w:sz w:val="18"/>
      <w:szCs w:val="24"/>
      <w:lang w:val="fr-FR" w:eastAsia="en-US" w:bidi="ar-SA"/>
    </w:rPr>
  </w:style>
  <w:style w:type="paragraph" w:styleId="ipcpara0" w:customStyle="1">
    <w:name w:val="ipc_para_0"/>
    <w:basedOn w:val="ipccorps"/>
    <w:link w:val="ipcpara0Car"/>
    <w:qFormat/>
    <w:rsid w:val="00a809a4"/>
    <w:pPr/>
    <w:rPr>
      <w:rFonts w:eastAsia="Times New Roman" w:cs="Times New Roman"/>
      <w:b/>
      <w:color w:val="8D4354"/>
      <w:spacing w:val="0"/>
      <w:kern w:val="0"/>
      <w:sz w:val="22"/>
    </w:rPr>
  </w:style>
  <w:style w:type="paragraph" w:styleId="ipclegendetableau" w:customStyle="1">
    <w:name w:val="ipc_legende_tableau"/>
    <w:basedOn w:val="ipcpara0"/>
    <w:link w:val="ipclegendetableauCar"/>
    <w:qFormat/>
    <w:rsid w:val="00a14a34"/>
    <w:pPr/>
    <w:rPr>
      <w:sz w:val="16"/>
    </w:rPr>
  </w:style>
  <w:style w:type="paragraph" w:styleId="ipcpiedpage" w:customStyle="1">
    <w:name w:val="ipc_pied_page"/>
    <w:basedOn w:val="En-tteetpieddepageuser"/>
    <w:link w:val="ipcpiedpageCar"/>
    <w:qFormat/>
    <w:rsid w:val="00b876b3"/>
    <w:pPr>
      <w:jc w:val="center"/>
    </w:pPr>
    <w:rPr>
      <w:color w:val="auto"/>
      <w:lang w:bidi="ar-MA"/>
    </w:rPr>
  </w:style>
  <w:style w:type="paragraph" w:styleId="ipcpiedpageinline" w:customStyle="1">
    <w:name w:val="ipc_pied_page_inline"/>
    <w:basedOn w:val="ipcpiedpage"/>
    <w:link w:val="ipcpiedpageinlineCar"/>
    <w:qFormat/>
    <w:rsid w:val="00160c25"/>
    <w:pPr>
      <w:spacing w:lineRule="auto" w:line="240" w:before="0" w:after="0"/>
    </w:pPr>
    <w:rPr>
      <w:u w:val="single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  <w:rsid w:val="00a204fc"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LibreOffice/26.2.5.2$Windows_X86_64 LibreOffice_project/cd7284b4cbbfeb507e630c1aac019f4157393acb</Application>
  <AppVersion>15.0000</AppVersion>
  <Pages>1</Pages>
  <Words>770</Words>
  <Characters>3860</Characters>
  <CharactersWithSpaces>4458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2026-08-24T10:57:15Z</dcterms:created>
  <dc:creator/>
  <dc:description/>
  <dc:language>fr-FR</dc:language>
  <cp:lastModifiedBy/>
  <dcterms:modified xsi:type="dcterms:W3CDTF">2026-08-24T11:03:00Z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