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الحسيمة</w:t>
      </w:r>
    </w:p>
    <w:p>
      <w:pPr>
        <w:pStyle w:val="ipcpara0"/>
      </w:pPr>
      <w:r>
        <w:t xml:space="preserve">في شهر يوليوز 2026 انخفضت أسعار الاستهلاك على المستوى الوطني بنسبة (0.6’% ) خلال شهر واحد في حين انخفضت أسعار الاستهلاك بما يقارب (1.5’%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1.2’% في شهر يوليوز 2026 مقارنة بشهر يونيو .2026 ويعزى ذلك الى انخفاض أثمان .</w:t>
      </w:r>
      <w:r>
        <w:rPr>
          <w:b/>
          <w:bCs/>
        </w:rPr>
        <w:t xml:space="preserve">الفواكه</w:t>
      </w:r>
      <w:r>
        <w:t xml:space="preserve">ب4,9%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ب2,4%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ب0,6%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ب0,4%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ب0,2%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ب0,1% ‏</w:t>
      </w:r>
    </w:p>
    <w:p>
      <w:pPr>
        <w:pStyle w:val="ipccorps"/>
      </w:pPr>
      <w:r>
        <w:t xml:space="preserve">في حين، ارتفع التغير الشهري للرقم الاستدلالي للمواد غير الغذائية ب (0.2% ) جراء زيادة أثمان الأقسام التالية: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ب17,8% ‏،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ب0,7% ‏ و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ب0,1%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-4.5%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ب27,6%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ب7,6%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ب5,7%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ب5,3%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ب3,3%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ب0,9%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ب10,7%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ب7,9%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ب5,0%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ب0,8%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ب0,2%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ب0,1%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2.5 %،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ب0,8% ‏ بينما ارتفع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ب6,7% ‏</w:t>
      </w:r>
    </w:p>
    <w:p>
      <w:pPr>
        <w:pStyle w:val="ipctitre0"/>
      </w:pPr>
      <w:r>
        <w:t xml:space="preserve">4- تطور معدل التغير السنوي (%) للرقم الاستدلالي للأثمان عند الاستهلاك لشهر يوليوز</w:t>
      </w:r>
    </w:p>
    <w:p>
      <w:pPr>
        <w:pStyle w:val="SourceCode"/>
      </w:pPr>
      <w:r>
        <w:rPr>
          <w:rStyle w:val="VerbatimChar"/>
        </w:rPr>
        <w:t xml:space="preserve">../../Rapports_mensuels/Mois2026_07/Graphique_variation_annuelle2026_07_Ville17_ar.png</w:t>
      </w:r>
    </w:p>
    <w:p>
      <w:pPr>
        <w:pStyle w:val="ipccorps"/>
      </w:pPr>
      <w:r>
        <w:t xml:space="preserve">في يوليوز 2026 انخفض الرقم الاستدلالي للأثمان عند الاستهلاك</w:t>
      </w:r>
      <w:r>
        <w:t xml:space="preserve"> </w:t>
      </w:r>
      <w:r>
        <w:t xml:space="preserve">1.5’% مقارنة بشهر يوليوز 2025</w:t>
      </w:r>
    </w:p>
    <w:p>
      <w:pPr>
        <w:pStyle w:val="ipctitre0"/>
      </w:pPr>
      <w:r>
        <w:t xml:space="preserve">6- تطور معدل التغير السنوي (%) للرقم الاستدلالي للأثمان عند الاستهلاك لشهر يوليوز</w:t>
      </w:r>
    </w:p>
    <w:p>
      <w:pPr>
        <w:pStyle w:val="SourceCode"/>
      </w:pPr>
      <w:r>
        <w:rPr>
          <w:rStyle w:val="VerbatimChar"/>
        </w:rPr>
        <w:t xml:space="preserve">../../Rapports_mensuels/Mois2026_07/Graphique_variation_mensuelle2026_07_Ville17_ar.png</w:t>
      </w:r>
    </w:p>
    <w:p>
      <w:pPr>
        <w:pStyle w:val="ipccorps"/>
      </w:pPr>
      <w:r>
        <w:t xml:space="preserve">في يوليوز 2026 انخفظ الرقم الاستدلالي للأثمان عند الاستهلاك</w:t>
      </w:r>
      <w:r>
        <w:t xml:space="preserve"> </w:t>
      </w:r>
      <w:r>
        <w:t xml:space="preserve">ب 0.6 % مقارنة بشهر يونيو 2026</w:t>
      </w:r>
    </w:p>
    <w:p>
      <w:pPr>
        <w:pStyle w:val="ipcpara0"/>
      </w:pPr>
      <w:r>
        <w:t xml:space="preserve">جدول 2: الرقم الاستدلالي للأثمان عند الاستهلاك لمدينة الحسيمة يوليوز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يوليوز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يوليوز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-5,8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-5,9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21,3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17,8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2026-08-24T10:58:29Z</dcterms:created>
  <dcterms:modified xsi:type="dcterms:W3CDTF">2026-08-24T10:58:29Z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