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Consumer Price Index - July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 xml:space="preserve">City of </w:t>
            </w:r>
          </w:p>
        </w:tc>
      </w:tr>
    </w:tbl>
    <w:p>
      <w:pPr>
        <w:pStyle w:val="ipcpara0"/>
        <w:rPr/>
      </w:pPr>
      <w:r>
        <w:rPr/>
        <w:t>In July 2026, the national consumer price index decreased by 1% compared to the previous month, while the consumer price index decreased by 0.6% over a full year.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Over a month,</w:t>
      </w:r>
      <w:r>
        <w:rPr/>
        <w:t xml:space="preserve"> The consumer price index experienced a decrease of 2% during the month of July 2026 compared to the previous month. as a result of the decline in prices of «Vegetables» by 7,6%, «Fish and Seafood» by 3,9%, «Fruits» by 3,7%, «Meat» by 1,2% and «Bread and Cereals», «Catering Services», «Milk and Cheese and Eggs» by 0,3%</w:t>
      </w:r>
    </w:p>
    <w:p>
      <w:pPr>
        <w:pStyle w:val="ipccorps"/>
        <w:rPr/>
      </w:pPr>
      <w:r>
        <w:rPr/>
        <w:t>Similarly, the monthly variation in the non-food index decreased by abs(evol_non_alim_1mois)% due to price decreases in the following divisions: «Transportation» by 1,4% and «Clothing and Shoes» and «Various Goods and Services» by 0,2%.</w:t>
      </w:r>
    </w:p>
    <w:p>
      <w:pPr>
        <w:pStyle w:val="ipccorps"/>
        <w:rPr/>
      </w:pPr>
      <w:r>
        <w:rPr>
          <w:b/>
          <w:bCs/>
        </w:rPr>
        <w:t>Over a year,</w:t>
      </w:r>
      <w:r>
        <w:rPr/>
        <w:t xml:space="preserve"> the food product price index decreased by -3.7% in July 2026 compared to July 2025 , due to the decrease in the prices of «Oils and Fats» by 22,9%, «Milk, Cheese and Eggs» by 5,9%, «Vegetables» by 1,6%, «Food Productsnot elsewhere classified» by 1,5%, «Meat» by 1,1% and «Bread and Cereals» and «Catering Services» by 0,5%. Moreover, the rise in prices of «Tobacco» by 4,0%, «Fish and Seafood» by 2,1%, «Cafe, Tea and Cocoa» by 1,9%, «Sugar, Jam, Honey, Chocolate and Confectionery» by 0,8%, «Mineral Waters, Soft Drinks, Fruit and Vegetable Juices (Nd)» by 0,2% and «Fruits» by 0,1% and the stagnation in prices for NA did not affect the general evolution.</w:t>
      </w:r>
    </w:p>
    <w:p>
      <w:pPr>
        <w:pStyle w:val="ipccorps"/>
        <w:rPr/>
      </w:pPr>
      <w:r>
        <w:rPr/>
        <w:t>On the other hand, the annual variation in the non-food index increased by 1.9%. While the variation in prices of the divisions that make up non-food products fluctuated between a decrease of the division of «Communications» by 0,2% and the rise of the division of «Transportation» by 4,1%</w:t>
      </w:r>
    </w:p>
    <w:p>
      <w:pPr>
        <w:pStyle w:val="ipctitre0"/>
        <w:rPr/>
      </w:pPr>
      <w:r>
        <w:rPr/>
        <w:t>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decreased by 0.6% compared to July 2025</w:t>
      </w:r>
    </w:p>
    <w:p>
      <w:pPr>
        <w:pStyle w:val="ipctitre0"/>
        <w:rPr/>
      </w:pPr>
      <w:r>
        <w:rPr/>
        <w:t>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decreased by 1% compared to June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Consumer price index for the city of : July 2026 (2017 base: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Product Divisions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Weightings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Monthly index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April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May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June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month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months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months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Food 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39,009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-3,7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– Food products and non-alcoholic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37,502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131,1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127,2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124,6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-2,0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-5,0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-4,0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–Alcoholicbeverages and tobacco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1,507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145,0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150,5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3,8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Non foodproducts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60,991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114,3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-0,3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– Clothing and shoes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4,323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116,9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118,0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117,9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117,7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0,7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Housing, water, gas, electricity and other fuel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14,575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1,5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05- Furniture, household items and routine maintenance of the home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4,407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–Health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7,741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10,040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2,958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– Leisure and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2,735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104,8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–Education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5,636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and hotels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1,461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124,7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2,4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– Variousgoods and services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7,115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116,9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120,8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120,4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-0,3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3,0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General index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-2,3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High Commission for Planning, Department of Statistics - National consumer price survey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601</Words>
  <Characters>3050</Characters>
  <CharactersWithSpaces>3481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2026-08-24T10:59:06Z</dcterms:created>
  <dc:creator/>
  <dc:description/>
  <dc:language>fr-FR</dc:language>
  <cp:lastModifiedBy/>
  <dcterms:modified xsi:type="dcterms:W3CDTF">2026-08-24T11:05:47Z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