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يوليوز 2026 انخفضت أسعار الاستهلاك على المستوى الوطني بنسبة (1’% ) خلال شهر واحد في حين انخفضت أسعار الاستهلاك بما يقارب (0.6’%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2’% في شهر يوليوز 2026 مقارنة بشهر يونيو .2026 ويعزى ذلك الى انخفاض أثمان .</w:t>
      </w:r>
      <w:r>
        <w:rPr>
          <w:b/>
          <w:bCs/>
        </w:rPr>
        <w:t xml:space="preserve">الخضراوات</w:t>
      </w:r>
      <w:r>
        <w:t xml:space="preserve">ب7,6%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ب3,9%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ب3,7%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ب1,2%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ب0,3%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ب1,4%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-3.7%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ب22,9%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ب5,9%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ب1,6%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ب1,5%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ب1,1%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ب0,5%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ب2,1%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ب0,8%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ب0,1%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1.9 %،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ب0,2%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ب4,1%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../../Rapports_mensuels/Mois2026_07/Graphique_variation_annuelle2026_07_Ville99_ar.png</w:t>
      </w:r>
    </w:p>
    <w:p>
      <w:pPr>
        <w:pStyle w:val="ipccorps"/>
      </w:pPr>
      <w:r>
        <w:t xml:space="preserve">في يوليوز 2026 انخفض الرقم الاستدلالي للأثمان عند الاستهلاك</w:t>
      </w:r>
      <w:r>
        <w:t xml:space="preserve"> </w:t>
      </w:r>
      <w:r>
        <w:t xml:space="preserve">0.6’% مقارنة بشهر يوليوز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../../Rapports_mensuels/Mois2026_07/Graphique_variation_mensuelle2026_07_Ville99_ar.png</w:t>
      </w:r>
    </w:p>
    <w:p>
      <w:pPr>
        <w:pStyle w:val="ipccorps"/>
      </w:pPr>
      <w:r>
        <w:t xml:space="preserve">في يوليوز 2026 انخفظ الرقم الاستدلالي للأثمان عند الاستهلاك</w:t>
      </w:r>
      <w:r>
        <w:t xml:space="preserve"> </w:t>
      </w:r>
      <w:r>
        <w:t xml:space="preserve">ب 1 % مقارنة بشهر يونيو 2026</w:t>
      </w:r>
    </w:p>
    <w:p>
      <w:pPr>
        <w:pStyle w:val="ipcpara0"/>
      </w:pPr>
      <w:r>
        <w:t xml:space="preserve">الرقم الاستدلالي للأثمان عند الاستهلاك لمدينة يوليوز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-5,0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2026-08-24T10:59:00Z</dcterms:created>
  <dcterms:modified xsi:type="dcterms:W3CDTF">2026-08-24T10:59:00Z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