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الحسيمة</w:t>
      </w:r>
    </w:p>
    <w:p>
      <w:pPr>
        <w:pStyle w:val="ipcpara0"/>
      </w:pPr>
      <w:r>
        <w:t xml:space="preserve">في شهر غشت 2026 ارتفعت أسعار الاستهلاك على المستوى الوطني بنسبة (1.6% ) خلال شهر واحد في حين انخفضت أسعار الاستهلاك بما يقارب (2.1’%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</w:t>
      </w:r>
      <w:r>
        <w:t xml:space="preserve"> </w:t>
      </w:r>
      <w:r>
        <w:t xml:space="preserve">2.1%</w:t>
      </w:r>
      <w:r>
        <w:t xml:space="preserve"> </w:t>
      </w:r>
      <w:r>
        <w:t xml:space="preserve">في شهر غشت 2026 مقارنة بشهر يوليوز .2026 ويعزى ذلك الى زيادة أثمان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ب12,0%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ب5,0%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ب2,1%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ب0,8% ‏،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ب0,4%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ب0,3%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ب0,2% ‏</w:t>
      </w:r>
    </w:p>
    <w:p>
      <w:pPr>
        <w:pStyle w:val="ipccorps"/>
      </w:pPr>
      <w:r>
        <w:t xml:space="preserve">كما، ارتفع التغير الشهري للرقم الاستدلالي للمواد غير الغذائية ب (1%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ب5,6%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ب1,0% ‏ و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ب0,3% ‏ . NA ارتفع التغير الشهري للرقم الاستدلالي للمواد غير الغذائية ب (1%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ب5,6%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ب1,0% ‏ و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ب0,3% ‏ . ارتفع التغير الشهري للرقم الاستدلالي للمواد غير الغذائية ب (1%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ب5,6%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ب1,0% ‏ و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ب0,3%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-6%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ب26,9%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ب11,5%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ب7,5%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ب4,7%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ب3,4%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ب2,2% ‏ و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ب1,0%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ب8,9%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ب5,0%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ب4,6%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ب1,6%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ب0,4%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 ارتفع الرقم الاستدلالي للمواد الغذائية</w:t>
      </w:r>
      <w:r>
        <w:t xml:space="preserve"> </w:t>
      </w:r>
      <w:r>
        <w:t xml:space="preserve">ب -6%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ب8,9%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ب5,0%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ب4,6%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ب1,6%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ب0,4%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ب26,9%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ب11,5%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ب7,5%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ب4,7%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ب3,4%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ب2,2% ‏ و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ب1,0%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 ارتفع الرقم الاستدلالي للمواد الغذائية</w:t>
      </w:r>
      <w:r>
        <w:t xml:space="preserve"> </w:t>
      </w:r>
      <w:r>
        <w:t xml:space="preserve">ب -6%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ب8,9%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ب5,0%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ب4,6%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ب1,6%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ب0,4%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ب26,9%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ب11,5%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ب7,5%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ب4,7%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ب3,4%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ب2,2% ‏ و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ب1,0%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 ارتفع الرقم الاستدلالي للمواد الغذائية</w:t>
      </w:r>
      <w:r>
        <w:t xml:space="preserve"> </w:t>
      </w:r>
      <w:r>
        <w:t xml:space="preserve">ب -6%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ب8,9%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ب5,0%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ب4,6%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ب1,6%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ب0,4%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ب26,9%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ب11,5%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ب7,5%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ب4,7%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ب3,4%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ب2,2% ‏ و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ب1,0%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3.3 %، نتيجة التباين بين أقسامه حيث انخفض قسم</w:t>
      </w:r>
      <w:r>
        <w:t xml:space="preserve"> </w:t>
      </w:r>
      <w:r>
        <w:rPr>
          <w:b/>
          <w:bCs/>
        </w:rPr>
        <w:t xml:space="preserve">الأثاث والأدوات المنزلية والصيانة المنزلية الروتينية</w:t>
      </w:r>
      <w:r>
        <w:t xml:space="preserve">ب0,9% ‏ بينما ارتفع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ب11,3% ‏</w:t>
      </w:r>
    </w:p>
    <w:p>
      <w:pPr>
        <w:pStyle w:val="ipctitre0"/>
      </w:pPr>
      <w:r>
        <w:t xml:space="preserve">4- 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../../Rapports_mensuels/Mois2026_08/Graphique_variation_annuelle2026_08_Ville17_ar.png</w:t>
      </w:r>
    </w:p>
    <w:p>
      <w:pPr>
        <w:pStyle w:val="ipccorps"/>
      </w:pPr>
      <w:r>
        <w:t xml:space="preserve">في غشت 2026 انخفض الرقم الاستدلالي للأثمان عند الاستهلاك</w:t>
      </w:r>
      <w:r>
        <w:t xml:space="preserve"> </w:t>
      </w:r>
      <w:r>
        <w:t xml:space="preserve">2.1’% مقارنة بشهر غشت 2025</w:t>
      </w:r>
    </w:p>
    <w:p>
      <w:pPr>
        <w:pStyle w:val="ipctitre0"/>
      </w:pPr>
      <w:r>
        <w:t xml:space="preserve">6- 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../../Rapports_mensuels/Mois2026_08/Graphique_variation_mensuelle2026_08_Ville17_ar.png</w:t>
      </w:r>
    </w:p>
    <w:p>
      <w:pPr>
        <w:pStyle w:val="ipccorps"/>
      </w:pPr>
      <w:r>
        <w:t xml:space="preserve">في غشت 2026 ارتفع الرقم الاستدلالي للأثمان عند الاستهلاك</w:t>
      </w:r>
      <w:r>
        <w:t xml:space="preserve"> </w:t>
      </w:r>
      <w:r>
        <w:t xml:space="preserve">ب 1.6 % مقارنة بشهر يوليوز 2026</w:t>
      </w:r>
    </w:p>
    <w:p>
      <w:pPr>
        <w:pStyle w:val="ipcpara0"/>
      </w:pPr>
      <w:r>
        <w:t xml:space="preserve">جدول 4: الرقم الاستدلالي للأثمان عند الاستهلاك لمدينة الحسيمة غشت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يوليوز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2026-10-08T10:46:15Z</dcterms:created>
  <dcterms:modified xsi:type="dcterms:W3CDTF">2026-10-08T10:46:15Z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