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يوليوز 2025 ارتفعت أسعار الاستهلاك على المستوى الوطني بنسبة (0.2% ) خلال شهر واحد في حين ارتفعت أسعار الاستهلاك بما يقارب (0.8% ) خلال سنة كاملة.</w:t>
      </w:r>
    </w:p>
    <w:p>
      <w:pPr>
        <w:pStyle w:val="ipccorps"/>
      </w:pPr>
      <w:r>
        <w:t xml:space="preserve">paragraphe2_phrase3_plus ويعزى ذلك الى زيادة أثمان »السمك« ب 5.9% ، »الحليب« ب 1.8% ، »اللحم« ب 1.3% ، »NA« ب 1.3% و »NA« ب 0.2%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2026-01-07T15:24:26Z</dcterms:created>
  <dcterms:modified xsi:type="dcterms:W3CDTF">2026-01-07T15:24:26Z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