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de 08 fr</w:t>
      </w:r>
    </w:p>
    <w:p>
      <w:pPr>
        <w:pStyle w:val="ipcpara0"/>
      </w:pPr>
      <w:r>
        <w:t xml:space="preserve">En Juillet 2025, l’indice des prix à la consommation des ménages de la ville de Tétouan a augmenté de 0.2% par rapport au mois précédent. En glissement annuel, il a acru de 0.8%.</w:t>
      </w:r>
    </w:p>
    <w:p>
      <w:pPr>
        <w:pStyle w:val="ipccorps"/>
      </w:pPr>
      <w:r>
        <w:t xml:space="preserve">paragraphe2_phrase3_plus résultat de la hausse des prix «poisson et fruits de mer» de 5.9% , «lait, fromage et oeufs» de 1.8% , «viande» de 1.3% , «services d’hebergement» de 1.3% et «eaux minerales, boissons rafraichissantes, jus de fruits et de legumes (nd)» de 0.2%.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2026-01-07T15:24:22Z</dcterms:created>
  <dcterms:modified xsi:type="dcterms:W3CDTF">2026-01-07T15:24:22Z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