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(2017 :100)</w:t>
      </w:r>
    </w:p>
    <w:p>
      <w:pPr>
        <w:pStyle w:val="ipcpara0"/>
      </w:pPr>
      <w:r>
        <w:t xml:space="preserve">في شهر يوليوز 2025 ارتفعت أسعار الاستهلاك على المستوى الوطني بنسبة (0.1% ) خلال شهر واحد في حين ارتفعت أسعار الاستهلاك بما يقارب (0.3% ) خلال سنة كاملة.</w:t>
      </w:r>
    </w:p>
    <w:p>
      <w:pPr>
        <w:pStyle w:val="ipccorps"/>
      </w:pPr>
      <w:r>
        <w:t xml:space="preserve">paragraphe2_phrase3_moins ويعزى ذلك الى انخفاظ أثمان »الخضر« ب -4.2% ، »السمك« ب -2.5% ، »الزيت« ب -0.4% ، »اللحم« ب -0.2% و »NA« ب -0.2%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2026-01-07T15:24:16Z</dcterms:created>
  <dcterms:modified xsi:type="dcterms:W3CDTF">2026-01-07T15:24:16Z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