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Note d’Information de la Direction Régionale de Tanger-Tétouan-Al Hoceima</w:t>
      </w:r>
    </w:p>
    <w:p>
      <w:pPr>
        <w:pStyle w:val="ipctitre0"/>
      </w:pPr>
      <w:r>
        <w:t xml:space="preserve">INDICE DES PRIX À LA CONSOMMATION Ville de 10 fr</w:t>
      </w:r>
    </w:p>
    <w:p>
      <w:pPr>
        <w:pStyle w:val="ipcpara0"/>
      </w:pPr>
      <w:r>
        <w:t xml:space="preserve">En Août 2025, l’indice des prix à la consommation des ménages de la ville de Tanger a augmenté de 1.1% par rapport au mois précédent. En glissement annuel, il a acru de 1%.</w:t>
      </w:r>
    </w:p>
    <w:p>
      <w:pPr>
        <w:pStyle w:val="ipccorps"/>
      </w:pPr>
      <w:r>
        <w:t xml:space="preserve">Sur un mois, l’indice des prix des produits alimentaires a augumenté de 2.5% en Août 2025 par rapport à Juillet 2025 résultat de la hausse des prix</w:t>
      </w:r>
      <w:r>
        <w:t xml:space="preserve"> </w:t>
      </w:r>
      <w:r>
        <w:t xml:space="preserve">“fruits”</w:t>
      </w:r>
      <w:r>
        <w:t xml:space="preserve"> </w:t>
      </w:r>
      <w:r>
        <w:t xml:space="preserve">de 6.6% ,</w:t>
      </w:r>
      <w:r>
        <w:t xml:space="preserve"> </w:t>
      </w:r>
      <w:r>
        <w:t xml:space="preserve">“poisson et fruits de mer”</w:t>
      </w:r>
      <w:r>
        <w:t xml:space="preserve"> </w:t>
      </w:r>
      <w:r>
        <w:t xml:space="preserve">de 5.7% ,</w:t>
      </w:r>
      <w:r>
        <w:t xml:space="preserve"> </w:t>
      </w:r>
      <w:r>
        <w:t xml:space="preserve">“viande”</w:t>
      </w:r>
      <w:r>
        <w:t xml:space="preserve"> </w:t>
      </w:r>
      <w:r>
        <w:t xml:space="preserve">de 5.1% ,</w:t>
      </w:r>
      <w:r>
        <w:t xml:space="preserve"> </w:t>
      </w:r>
      <w:r>
        <w:t xml:space="preserve">“services d’hebergement”</w:t>
      </w:r>
      <w:r>
        <w:t xml:space="preserve"> </w:t>
      </w:r>
      <w:r>
        <w:t xml:space="preserve">de 5.1% ,</w:t>
      </w:r>
      <w:r>
        <w:t xml:space="preserve"> </w:t>
      </w:r>
      <w:r>
        <w:t xml:space="preserve">“legumes”</w:t>
      </w:r>
      <w:r>
        <w:t xml:space="preserve"> </w:t>
      </w:r>
      <w:r>
        <w:t xml:space="preserve">de 3.7% ,</w:t>
      </w:r>
      <w:r>
        <w:t xml:space="preserve"> </w:t>
      </w:r>
      <w:r>
        <w:t xml:space="preserve">“lait, fromage et oeufs”</w:t>
      </w:r>
      <w:r>
        <w:t xml:space="preserve"> </w:t>
      </w:r>
      <w:r>
        <w:t xml:space="preserve">de 0.6% ,</w:t>
      </w:r>
      <w:r>
        <w:t xml:space="preserve"> </w:t>
      </w:r>
      <w:r>
        <w:t xml:space="preserve">“huiles et graisses”</w:t>
      </w:r>
      <w:r>
        <w:t xml:space="preserve"> </w:t>
      </w:r>
      <w:r>
        <w:t xml:space="preserve">de 0.3% ,</w:t>
      </w:r>
      <w:r>
        <w:t xml:space="preserve"> </w:t>
      </w:r>
      <w:r>
        <w:t xml:space="preserve">“produits alimentaires n.c.a.”</w:t>
      </w:r>
      <w:r>
        <w:t xml:space="preserve"> </w:t>
      </w:r>
      <w:r>
        <w:t xml:space="preserve">de 0.3% ,</w:t>
      </w:r>
      <w:r>
        <w:t xml:space="preserve"> </w:t>
      </w:r>
      <w:r>
        <w:t xml:space="preserve">“pain et cereales”</w:t>
      </w:r>
      <w:r>
        <w:t xml:space="preserve"> </w:t>
      </w:r>
      <w:r>
        <w:t xml:space="preserve">de 0.2% et</w:t>
      </w:r>
      <w:r>
        <w:t xml:space="preserve"> </w:t>
      </w:r>
      <w:r>
        <w:t xml:space="preserve">“sucre, confiture, miel, chocolat et confeserie”</w:t>
      </w:r>
      <w:r>
        <w:t xml:space="preserve"> </w:t>
      </w:r>
      <w:r>
        <w:t xml:space="preserve">de 0.1%.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2025-11-17T13:35:24Z</dcterms:created>
  <dcterms:modified xsi:type="dcterms:W3CDTF">2025-11-17T13:35:24Z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