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مدينة تطوان</w:t>
      </w:r>
    </w:p>
    <w:p>
      <w:pPr>
        <w:pStyle w:val="ipcpara0"/>
      </w:pPr>
      <w:r>
        <w:t xml:space="preserve">في شهر اكتوبر 2025 انخفضت أسعار الاستهلاك على المستوى الوطني بنسبة (-0.9% ) خلال شهر واحد في حين ارتفعت أسعار الاستهلاك بما يقارب (0.3%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-1.9% في شهر اكتوبر 2025 مقارنة بشهر شتنبر .2025 ويعزى ذلك الى انخفاض أثمان .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-7.9 %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-5 %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-1.9 %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-1.7 %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-0.7 %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-0.5 %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-0.3 %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-0.1 % ‏</w:t>
      </w:r>
    </w:p>
    <w:p>
      <w:pPr>
        <w:pStyle w:val="ipccorps"/>
      </w:pPr>
      <w:r>
        <w:t xml:space="preserve">استقر التغير الشهري لمؤشر المواد غير الغذائية، و ذلك بفعل استقرار أثمان المواد المكونة للأقسام التالية :</w:t>
      </w:r>
      <w:r>
        <w:t xml:space="preserve"> </w:t>
      </w:r>
      <w:r>
        <w:rPr>
          <w:b/>
          <w:bCs/>
        </w:rPr>
        <w:t xml:space="preserve">صحة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-0.8%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-8.3 %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-6.8 %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-4.4 %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-1.4 %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-1 %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8.8 %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7.1 %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5.1 %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3.6 %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0.5 %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0.3 %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1.2 %،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-2.3 %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ب 10.1 % ‏</w:t>
      </w:r>
    </w:p>
    <w:p>
      <w:pPr>
        <w:pStyle w:val="ipctitre0"/>
      </w:pPr>
      <w:r>
        <w:t xml:space="preserve">5- تطور معدل التغير السنوي (%) للرقم الاستدلالي للأثمان عند الاستهلاك لشهر اكتوبر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اكتوبر 2025 ارتفع الرقم الاستدلالي للأثمان عند الاستهلاك</w:t>
      </w:r>
      <w:r>
        <w:t xml:space="preserve"> </w:t>
      </w:r>
      <w:r>
        <w:t xml:space="preserve">ب 1.2 % مقارنة بشهر اكتوبر 2024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2026-02-13T12:12:12Z</dcterms:created>
  <dcterms:modified xsi:type="dcterms:W3CDTF">2026-02-13T12:12:12Z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