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October 2025, the national consumer price index decreased by -0.7% compared to the previous month, while the consumer price index increased by 0.4% over a full year.</w:t>
      </w:r>
    </w:p>
    <w:p>
      <w:pPr>
        <w:pStyle w:val="ipccorps"/>
      </w:pPr>
      <w:r>
        <w:t xml:space="preserve">The consumer price index experienced a decrease of -1.7% during the month of October 2025 compared to the previous month. as a result of the decline in prices of «Oils and Fats» by -6.7 %, «Meat» by -5.1 %, «Fruits», «Vegetables» and «Food Products N.C.A.» by -0.4 %, «Milk, Cheese and Eggs», «Sugar, Jam, Honey and Chocolate and Confectionery» by -0.2 %, «Mineral Waters, Soft Drinks and Fruit and Vegetable Juices (Nd)» by -0.1 %</w:t>
      </w:r>
    </w:p>
    <w:p>
      <w:pPr>
        <w:pStyle w:val="ipccorps"/>
      </w:pPr>
      <w:r>
        <w:t xml:space="preserve">The monthly variation in the non-food index stagnated following stagnation in prices in the following divisions: «Housing, Water, Gas, Electricity and Other Fuels», «Health» and «Education».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0.3% in October 2025 compared to October 2024 , due to the rise in the prices of «Fruits» by 10.3 %, «Cafe and Tea and Cocoa» by 8.5 %, «Vegetables» by 4.6 %, «Tobacco» by 3.6 %, «Food Products N.C.A.» by 0.5 %, «Sugar, Jam, Honey and Chocolate and Confectionery» by 0.4 %, «Fish and Seafood», «Milk and Cheese and Eggs» by 0.2 %, «Bread and Cereals» by 0.1 %. Moreover, the decrease in prices of «Oils and Fats» by -12.8 %, «Mineral Waters, Soft Drinks and Fruit and Vegetable Juices (Nd)» by -3.9 %, «Meat» by -1.1 % and the stagnation in prices for did not affect the general evolution.</w:t>
      </w:r>
    </w:p>
    <w:p>
      <w:pPr>
        <w:pStyle w:val="ipccorps"/>
      </w:pPr>
      <w:r>
        <w:t xml:space="preserve">Similarly, the annual variation in the non-food index increased by 0.4%. While the variation in prices of the divisions that make up non-food products fluctuated between a decrease of the division of «Transportation» by -2.4 % and the rise of the division of «Furniture, Household Items and Routine Home Maintenance» and «Restaurants and Hotels» by 2.8 %</w:t>
      </w:r>
    </w:p>
    <w:p>
      <w:pPr>
        <w:pStyle w:val="ipctitre0"/>
      </w:pPr>
      <w:r>
        <w:t xml:space="preserve">3- Annual evolution (%) of the consumer price index for the month of October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October 2025, the consumer price index increased by 0.4% compared to October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2026-02-13T12:12:03Z</dcterms:created>
  <dcterms:modified xsi:type="dcterms:W3CDTF">2026-02-13T12:12:03Z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