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p_2025_08 ang</w:t>
      </w:r>
    </w:p>
    <w:p>
      <w:pPr>
        <w:pStyle w:val="ipccorps"/>
      </w:pPr>
      <w:r>
        <w:t xml:space="preserve">En , l’indice des prx à la consommation des ménages de la ville d’Al Hoceima a augmenté de 0,1% par rapport au mois précédent. Au niveau annuel, l’indice des prix à la consommation a décru de 0,3%.</w:t>
      </w:r>
    </w:p>
    <w:p>
      <w:pPr>
        <w:pStyle w:val="ipccorps"/>
      </w:pPr>
      <w:r>
        <w:t xml:space="preserve">Le mois sélectionné est :</w:t>
      </w:r>
    </w:p>
    <w:p>
      <w:pPr>
        <w:pStyle w:val="BodyText"/>
      </w:pPr>
      <w:r>
        <w:t xml:space="preserve">LE mois esr vs AZBNRAZEFJ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2025-11-10T11:27:47Z</dcterms:created>
  <dcterms:modified xsi:type="dcterms:W3CDTF">2025-11-10T11:27:47Z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