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 تطوان</w:t>
      </w:r>
    </w:p>
    <w:p>
      <w:pPr>
        <w:pStyle w:val="ipcpara0"/>
      </w:pPr>
      <w:r>
        <w:t xml:space="preserve">في شهر غشت 2026 ارتفعت أسعار الاستهلاك على المستوى الوطني بنسبة (1.2% ) خلال شهر واحد في حين ارتفعت أسعار الاستهلاك بما يقارب (0.7% ) خلال سنة كاملة.</w:t>
      </w:r>
    </w:p>
    <w:p>
      <w:pPr>
        <w:pStyle w:val="ipccorps"/>
      </w:pPr>
      <w:r>
        <w:t xml:space="preserve">على المستوى الشهري ارتفع الرقم الاستدلالي للمواد الغذائية ب</w:t>
      </w:r>
      <w:r>
        <w:t xml:space="preserve"> </w:t>
      </w:r>
      <w:r>
        <w:t xml:space="preserve">1.6%</w:t>
      </w:r>
      <w:r>
        <w:t xml:space="preserve"> </w:t>
      </w:r>
      <w:r>
        <w:t xml:space="preserve">في شهر غشت 2026 مقارنة بشهر يوليوز .2026 ويعزى ذلك الى زيادة أثمان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ب7,2%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ب5,7%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ب1,3%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ب0,9%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ب0,4% ‏ و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ب0,1% ‏</w:t>
      </w:r>
    </w:p>
    <w:p>
      <w:pPr>
        <w:pStyle w:val="ipccorps"/>
      </w:pPr>
      <w:r>
        <w:t xml:space="preserve">كما، ارتفع التغير الشهري للرقم الاستدلالي للمواد غير الغذائية ب (0.9% ) جراء زيادة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ب6,2% ‏،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ب0,9% ‏،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ب0,2% ‏ و</w:t>
      </w:r>
      <w:r>
        <w:t xml:space="preserve"> </w:t>
      </w:r>
      <w:r>
        <w:rPr>
          <w:b/>
          <w:bCs/>
        </w:rPr>
        <w:t xml:space="preserve">الأثاث والأدوات المنزلية والصيانة المنزلية الروتينية</w:t>
      </w:r>
      <w:r>
        <w:t xml:space="preserve">ب0,1%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-2.9%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ب18,3%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ب8,5%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ب5,3%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ب4,8%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ب2,9%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ب0,3% ‏ و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ب0,1%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ب6,9%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ب2,1%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ب0,6% ‏ و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ب0,4%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في حين، سجل التغير السنوي لمؤشر المواد غير الغذائية ارتفاعا ب 3.6 %، نتيجة التباين بين أقسامه حيث انخفض قسم</w:t>
      </w:r>
      <w:r>
        <w:t xml:space="preserve"> </w:t>
      </w:r>
      <w:r>
        <w:rPr>
          <w:b/>
          <w:bCs/>
        </w:rPr>
        <w:t xml:space="preserve">الملابس والأحذية</w:t>
      </w:r>
      <w:r>
        <w:t xml:space="preserve">ب1,3% ‏ بينما ارتفع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ب12,4% ‏</w:t>
      </w:r>
    </w:p>
    <w:p>
      <w:pPr>
        <w:pStyle w:val="ipctitre0"/>
      </w:pPr>
      <w:r>
        <w:t xml:space="preserve">3- تطور معدل التغير السنوي (%) للرقم الاستدلالي للأثمان عند الاستهلاك لشهر غشت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../../Rapports_mensuels/Mois2026_08/Graphique_variation_annuelle2026_08_Ville08_ar.png</w:t>
      </w:r>
    </w:p>
    <w:p>
      <w:pPr>
        <w:pStyle w:val="ipccorps"/>
      </w:pPr>
      <w:r>
        <w:t xml:space="preserve">في غشت 2026 ارتفع الرقم الاستدلالي للأثمان عند الاستهلاك</w:t>
      </w:r>
      <w:r>
        <w:t xml:space="preserve"> </w:t>
      </w:r>
      <w:r>
        <w:t xml:space="preserve">ب 0.7 % مقارنة بشهر غشت 2025</w:t>
      </w:r>
    </w:p>
    <w:p>
      <w:pPr>
        <w:pStyle w:val="ipctitre0"/>
      </w:pPr>
      <w:r>
        <w:t xml:space="preserve">4- تطور معدل التغير السنوي (%) للرقم الاستدلالي للأثمان عند الاستهلاك لشهر غشت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../../Rapports_mensuels/Mois2026_08/Graphique_variation_mensuelle2026_08_Ville08_ar.png</w:t>
      </w:r>
    </w:p>
    <w:p>
      <w:pPr>
        <w:pStyle w:val="ipccorps"/>
      </w:pPr>
      <w:r>
        <w:t xml:space="preserve">في غشت 2026 ارتفع الرقم الاستدلالي للأثمان عند الاستهلاك</w:t>
      </w:r>
      <w:r>
        <w:t xml:space="preserve"> </w:t>
      </w:r>
      <w:r>
        <w:t xml:space="preserve">ب 1.2 % مقارنة بشهر يوليوز 2026</w:t>
      </w:r>
    </w:p>
    <w:p>
      <w:pPr>
        <w:pStyle w:val="ipcpara0"/>
      </w:pPr>
      <w:r>
        <w:t xml:space="preserve">جدول 3: الرقم الاستدلالي للأثمان عند الاستهلاك لمدينة تطوان غشت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يوليوز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يونيو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ماي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40,725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38,964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59,275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5,835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2026-09-28T15:56:04Z</dcterms:created>
  <dcterms:modified xsi:type="dcterms:W3CDTF">2026-09-28T15:56:04Z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