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طنجة</w:t>
      </w:r>
    </w:p>
    <w:p>
      <w:pPr>
        <w:pStyle w:val="ipcpara0"/>
      </w:pPr>
      <w:r>
        <w:t xml:space="preserve">في شهر غشت 2026 ارتفعت أسعار الاستهلاك على المستوى الوطني بنسبة (0.9% ) خلال شهر واحد في حين انخفضت أسعار الاستهلاك بما يقارب (0.3’%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1.3%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ب4,2%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(0.6%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-4.3%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ب0,4%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ب1,9%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2.3 %،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ب1,3%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ب8,5%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../../Rapports_mensuels/Mois2026_08/Graphique_variation_annuelle2026_08_Ville10_ar.png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0.3’% مقارنة بشهر غشت 2025</w:t>
      </w:r>
    </w:p>
    <w:p>
      <w:pPr>
        <w:pStyle w:val="ipctitre0"/>
      </w:pPr>
      <w:r>
        <w:t xml:space="preserve">2-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../../Rapports_mensuels/Mois2026_08/Graphique_variation_mensuelle2026_08_Ville10_ar.png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0.9 % مقارنة بشهر يوليوز 2026</w:t>
      </w:r>
    </w:p>
    <w:p>
      <w:pPr>
        <w:pStyle w:val="ipcpara0"/>
      </w:pPr>
      <w:r>
        <w:t xml:space="preserve">جدول 2: الرقم الاستدلالي للأثمان عند الاستهلاك لمدينة طنجة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2026-09-28T15:56:33Z</dcterms:created>
  <dcterms:modified xsi:type="dcterms:W3CDTF">2026-09-28T15:56:33Z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