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الحسيمة</w:t>
      </w:r>
    </w:p>
    <w:p>
      <w:pPr>
        <w:pStyle w:val="ipcpara0"/>
      </w:pPr>
      <w:r>
        <w:t xml:space="preserve">في شهر غشت 2026 ارتفعت أسعار الاستهلاك على المستوى الوطني بنسبة (1.6% ) خلال شهر واحد في حين انخفضت أسعار الاستهلاك بما يقارب (2.1’%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2.1%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ب12,0%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ب2,1%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ب0,4%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ب0,3%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ب0,2% ‏</w:t>
      </w:r>
    </w:p>
    <w:p>
      <w:pPr>
        <w:pStyle w:val="ipccorps"/>
      </w:pPr>
      <w:r>
        <w:t xml:space="preserve">كما، ارتفع التغير الشهري للرقم الاستدلالي للمواد غير الغذائية ب (1%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ب5,6%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ب1,0% ‏ و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ب0,3%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-6%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ب26,9%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ب11,5%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ب4,7%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ب2,2% ‏ و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ب1,0%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ب8,9% ‏،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ب5,0%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ب4,6%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ب1,6%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ب0,4%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3.3 %،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الأثاث والأدوات المنزلية والصيانة المنزلية الروتينية</w:t>
      </w:r>
      <w:r>
        <w:t xml:space="preserve">ب0,9% ‏ بينما ارتفع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ب11,3% ‏</w:t>
      </w:r>
    </w:p>
    <w:p>
      <w:pPr>
        <w:pStyle w:val="ipctitre0"/>
      </w:pPr>
      <w:r>
        <w:t xml:space="preserve">4-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../../Rapports_mensuels/Mois2026_08/Graphique_variation_annuelle2026_08_Ville17_ar.png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2.1’% مقارنة بشهر غشت 2025</w:t>
      </w:r>
    </w:p>
    <w:p>
      <w:pPr>
        <w:pStyle w:val="ipctitre0"/>
      </w:pPr>
      <w:r>
        <w:t xml:space="preserve">6-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../../Rapports_mensuels/Mois2026_08/Graphique_variation_mensuelle2026_08_Ville17_ar.png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1.6 % مقارنة بشهر يوليوز 2026</w:t>
      </w:r>
    </w:p>
    <w:p>
      <w:pPr>
        <w:pStyle w:val="ipcpara0"/>
      </w:pPr>
      <w:r>
        <w:t xml:space="preserve">جدول 4: الرقم الاستدلالي للأثمان عند الاستهلاك لمدينة الحسيمة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2026-09-28T15:57:04Z</dcterms:created>
  <dcterms:modified xsi:type="dcterms:W3CDTF">2026-09-28T15:57:04Z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