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</w:t>
            </w:r>
          </w:p>
        </w:tc>
      </w:tr>
    </w:tbl>
    <w:p>
      <w:pPr>
        <w:pStyle w:val="ipcpara0"/>
      </w:pPr>
      <w:r>
        <w:t xml:space="preserve">In August 2026, the national consumer price index increased by 0.8% compared to the previous month, while the consumer price index decreased by 0.3%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consumer price index experienced an increase of 1% during the month of August 2026 compared to the previous month. as a result of the rise in prices of «Fish and Seafood», «Milk and Cheese and Eggs» by 2,8%, «Meat» by 2,2%, «Vegetables» by 1,0%, «Cafe, Tea and Cocoa» by 0,3%, «Food Productsnot elsewhere classified» by 0,2% and «Oils and Fats» by 0,1%</w:t>
      </w:r>
    </w:p>
    <w:p>
      <w:pPr>
        <w:pStyle w:val="ipccorps"/>
      </w:pPr>
      <w:r>
        <w:t xml:space="preserve">Similarly, the monthly variation in the non-food index increased by 0.7% due to price increases in the following divisions: «Transportation» by 3,4%, «Restaurants and Hotels» by 0,6%, «Furniture, Household Items and Routine Home Maintenance» and «Various Goods and Services» by 0,3% and «Clothing and Shoes» by 0,2%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-3.8% in August 2026 compared to August 2025 , due to the decrease in the prices of «Oils and Fats» by 22,4%, «Fruits» by 4,4%, «Vegetables» by 3,8%, «Milk, Cheese and Eggs» by 3,7%, «Food Productsnot elsewhere classified» by 1,3%, «Meat» by 0,7% and «Bread and Cereals» by 0,6%. Moreover, the rise in prices of «Tobacco» by 4,0%, «Fish and Seafood» by 3,0%, «Cafe, Tea and Cocoa» by 1,6%, «Sugar, Jam, Honey, Chocolate and Confectionery» by 0,8% and «Mineral Waters, Soft Drinks, Fruit and Vegetable Juices (Nd)» by 0,6%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2.4%. While the variation in prices of the divisions that make up non-food products fluctuated between a decrease of the division of «Communications» by 0,2% and the rise of the division of «Transportation» by 7,3%</w:t>
      </w:r>
    </w:p>
    <w:p>
      <w:pPr>
        <w:pStyle w:val="ipctitre0"/>
      </w:pPr>
      <w:r>
        <w:t xml:space="preserve">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99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0.3% compared to August 2025</w:t>
      </w:r>
    </w:p>
    <w:p>
      <w:pPr>
        <w:pStyle w:val="ipctitre0"/>
      </w:pPr>
      <w:r>
        <w:t xml:space="preserve">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99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0.8% compared to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Consumer price index for the city of 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2026-09-28T15:57:40Z</dcterms:created>
  <dcterms:modified xsi:type="dcterms:W3CDTF">2026-09-28T15:57:40Z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