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 تطوان</w:t>
      </w:r>
    </w:p>
    <w:p>
      <w:pPr>
        <w:pStyle w:val="ipcpara0"/>
      </w:pPr>
      <w:r>
        <w:t xml:space="preserve">في شهر نونبر 2025 انخفضت أسعار الاستهلاك على المستوى الوطني بنسبة (-0.3% ) خلال شهر واحد في حين ارتفعت أسعار الاستهلاك بما يقارب (0.6% ) خلال سنة كاملة.</w:t>
      </w:r>
    </w:p>
    <w:p>
      <w:pPr>
        <w:pStyle w:val="ipccorps"/>
      </w:pPr>
      <w:r>
        <w:t xml:space="preserve">على المستوى الشهري انخفض الرقم الاستدلالي للمواد ىالغذائية ب -1% في شهر نونبر 2025 مقارنة بشهر اكتوبر .2025 ويعزى ذلك الى انخفاض أثمان .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ب -12.3 % ‏،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 </w:t>
      </w:r>
      <w:r>
        <w:t xml:space="preserve">ب -1 %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 </w:t>
      </w:r>
      <w:r>
        <w:t xml:space="preserve">ب -0.7 %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 </w:t>
      </w:r>
      <w:r>
        <w:t xml:space="preserve">ب -0.6 %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 </w:t>
      </w:r>
      <w:r>
        <w:t xml:space="preserve">ب -0.2 % ‏،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 </w:t>
      </w:r>
      <w:r>
        <w:t xml:space="preserve">ب -0.1 % ‏</w:t>
      </w:r>
    </w:p>
    <w:p>
      <w:pPr>
        <w:pStyle w:val="ipccorps"/>
      </w:pPr>
      <w:r>
        <w:t xml:space="preserve">في حين، ارتفع التغير الشهري للرقم الاستدلالي للمواد غير الغذائية ب (0.1% ) جراء زيادة أثمان الأقسام التالية:</w:t>
      </w:r>
      <w:r>
        <w:t xml:space="preserve"> </w:t>
      </w:r>
      <w:r>
        <w:rPr>
          <w:b/>
          <w:bCs/>
        </w:rPr>
        <w:t xml:space="preserve">تعليم</w:t>
      </w:r>
      <w:r>
        <w:t xml:space="preserve"> </w:t>
      </w:r>
      <w:r>
        <w:t xml:space="preserve">ب 0.7 % ‏،</w:t>
      </w:r>
      <w:r>
        <w:t xml:space="preserve"> </w:t>
      </w:r>
      <w:r>
        <w:rPr>
          <w:b/>
          <w:bCs/>
        </w:rPr>
        <w:t xml:space="preserve">الملابس والأحذية</w:t>
      </w:r>
      <w:r>
        <w:t xml:space="preserve"> </w:t>
      </w:r>
      <w:r>
        <w:t xml:space="preserve">ب 0.5 % ‏،</w:t>
      </w:r>
      <w:r>
        <w:t xml:space="preserve"> </w:t>
      </w:r>
      <w:r>
        <w:rPr>
          <w:b/>
          <w:bCs/>
        </w:rPr>
        <w:t xml:space="preserve">الأثاث والأدوات المنزلية والصيانة المنزلية الروتينية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 </w:t>
      </w:r>
      <w:r>
        <w:t xml:space="preserve">ب 0.1 %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انخفض الرقم الاستدلالي للمواد الغذائية</w:t>
      </w:r>
      <w:r>
        <w:t xml:space="preserve"> </w:t>
      </w:r>
      <w:r>
        <w:t xml:space="preserve">ب -0.5% في نونبر 2025 مقارنة بنظيره من السنة الماضية،ويعزى ذلك إلى تراجع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 </w:t>
      </w:r>
      <w:r>
        <w:t xml:space="preserve">ب -8.5 % ‏،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 </w:t>
      </w:r>
      <w:r>
        <w:t xml:space="preserve">ب -6.8 %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 </w:t>
      </w:r>
      <w:r>
        <w:t xml:space="preserve">ب -5.2 %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 </w:t>
      </w:r>
      <w:r>
        <w:t xml:space="preserve">ب -1.4 %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ب -1.2 %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 </w:t>
      </w:r>
      <w:r>
        <w:t xml:space="preserve">ب -0.2 % ‏. وعلى الرغم من الارتفاعات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 </w:t>
      </w:r>
      <w:r>
        <w:t xml:space="preserve">ب 8.2 %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 </w:t>
      </w:r>
      <w:r>
        <w:t xml:space="preserve">ب 6.2 %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 </w:t>
      </w:r>
      <w:r>
        <w:t xml:space="preserve">ب 5.5 %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ب 3.9 %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 </w:t>
      </w:r>
      <w:r>
        <w:t xml:space="preserve">ب 3.6 %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 </w:t>
      </w:r>
      <w:r>
        <w:t xml:space="preserve">ب 0.8 % ‏ و كذا</w:t>
      </w:r>
      <w:r>
        <w:t xml:space="preserve"> </w:t>
      </w:r>
      <w:r>
        <w:t xml:space="preserve">استقرار أثمان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في حين، سجل التغير السنوي لمؤشر المواد غير الغذائية ارتفاعا ب 1.4 %، نتيجة التباين بين أقسامه حيث انخفض قسم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 </w:t>
      </w:r>
      <w:r>
        <w:t xml:space="preserve">ب -1.6 % ‏ بينما ارتفع</w:t>
      </w:r>
      <w:r>
        <w:t xml:space="preserve"> </w:t>
      </w:r>
      <w:r>
        <w:rPr>
          <w:b/>
          <w:bCs/>
        </w:rPr>
        <w:t xml:space="preserve">تعليم</w:t>
      </w:r>
      <w:r>
        <w:t xml:space="preserve"> </w:t>
      </w:r>
      <w:r>
        <w:t xml:space="preserve">ب 10.5 % ‏</w:t>
      </w:r>
    </w:p>
    <w:p>
      <w:pPr>
        <w:pStyle w:val="ipctitre0"/>
      </w:pPr>
      <w:r>
        <w:t xml:space="preserve">5- تطور معدل التغير السنوي (%) للرقم الاستدلالي للأثمان عند الاستهلاك لشهر نونبر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قراءة: في نونبر 2025 ارتفع الرقم الاستدلالي للأثمان عند الاستهلاك</w:t>
      </w:r>
      <w:r>
        <w:t xml:space="preserve"> </w:t>
      </w:r>
      <w:r>
        <w:t xml:space="preserve">ب 0.6 % مقارنة بشهر نونبر 2024</w:t>
      </w:r>
    </w:p>
    <w:p>
      <w:pPr>
        <w:pStyle w:val="ipctitre0"/>
      </w:pPr>
      <w:r>
        <w:t xml:space="preserve">6- تطور معدل التغير السنوي (%) للرقم الاستدلالي للأثمان عند الاستهلاك لشهر نونبر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قراءة: في نونبر 2025 انخفظ الرقم الاستدلالي للأثمان عند الاستهلاك</w:t>
      </w:r>
      <w:r>
        <w:t xml:space="preserve"> </w:t>
      </w:r>
      <w:r>
        <w:t xml:space="preserve">ب -0.3 % مقارنة بشهر اكتوبر 2025</w:t>
      </w:r>
    </w:p>
    <w:p>
      <w:pPr>
        <w:pStyle w:val="ipcpara0"/>
      </w:pPr>
      <w:r>
        <w:t xml:space="preserve">جدول 3: الرقم الاستدلالي للأثمان عند الاستهلاك لمدينة تطوان نونبر :2025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يناير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دجنبر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نونبر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اكتوبر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يناير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144,0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المصدر: 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2026-03-17T12:08:30Z</dcterms:created>
  <dcterms:modified xsi:type="dcterms:W3CDTF">2026-03-17T12:08:30Z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