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Tanger</w:t>
      </w:r>
    </w:p>
    <w:p>
      <w:pPr>
        <w:pStyle w:val="ipcpara0"/>
      </w:pPr>
      <w:r>
        <w:t xml:space="preserve">In February 2026, the national consumer price index increased by 1.4% compared to the previous month, while the consumer price index increased by 0.5% over a full year.</w:t>
      </w:r>
    </w:p>
    <w:p>
      <w:pPr>
        <w:pStyle w:val="ipccorps"/>
      </w:pPr>
      <w:r>
        <w:t xml:space="preserve">The consumer price index experienced an increase of 2.7% during the month of February 2026 compared to the previous month. as a result of the rise in prices of «Fish and Seafood» by 10.7 %, «Fruits» by 6.6 %, «Meat» and «Vegetables» by 3.5 %, «Cafe and Tea and Cocoa» by 2.4 %, «Milk and Cheese and Eggs» by 1.5 %, «Bread and Cereals» by 0.6 %, «Sugar, Jam, Honey and Chocolate and Confectionery» by 0.1 %</w:t>
      </w:r>
    </w:p>
    <w:p>
      <w:pPr>
        <w:pStyle w:val="ipccorps"/>
      </w:pPr>
      <w:r>
        <w:t xml:space="preserve">Similarly, the monthly variation in the non-food index increased by 0.5% due to price increases in the following divisions: «Miscellaneous Goods and Services» by 3.9 %, «Transportation» by 0.9 %, «Leisure and Culture» by 0.2 %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-0.7% in February 2026 compared to February 2025 , due to the decrease in the prices of «Oils and Fats» by -18.4 %, «Meat» by -6.6 %, «Food Products N.C.A.» by -3.1 %, «Milk and Cheese and Eggs» by -2 %, «Mineral Waters, Soft Drinks and Fruit and Vegetable Juices (Nd)» by -0.5 %. Moreover, the rise in prices of «Fish and Seafood» by 18.5 %, «Fruits» by 6.9 %, «Cafe and Tea and Cocoa» by 6.5 %, «Vegetables» by 4 %, «Tobacco» by 3.7 %, «Sugar, Jam, Honey and Chocolate and Confectionery» by 0.3 %, «Bread and Cereals» by 0.2 % and the stagnation in prices for did not affect the general evolution.</w:t>
      </w:r>
    </w:p>
    <w:p>
      <w:pPr>
        <w:pStyle w:val="ipccorps"/>
      </w:pPr>
      <w:r>
        <w:t xml:space="preserve">On the other hand, the annual variation in the non-food index increased by 1.2%. While the variation in prices of the divisions that make up non-food products fluctuated between a decrease of the division of «Transportation» by -3.1 % and the rise of the division of «Miscellaneous Goods and Services» by 10.8 %</w:t>
      </w:r>
    </w:p>
    <w:p>
      <w:pPr>
        <w:pStyle w:val="ipctitre0"/>
      </w:pPr>
      <w:r>
        <w:t xml:space="preserve">3- Annual evolution (%) of the consumer price index for the month of February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February 2026, the consumer price index increased by 0.5% compared to February 2025</w:t>
      </w:r>
    </w:p>
    <w:p>
      <w:pPr>
        <w:pStyle w:val="ipctitre0"/>
      </w:pPr>
      <w:r>
        <w:t xml:space="preserve">4- Annual evolution (%) of the consumer price index for the month of February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February 2026, the consumer price index increased by 1.4% compared to January 2026</w:t>
      </w:r>
    </w:p>
    <w:p>
      <w:pPr>
        <w:pStyle w:val="ipcpara0"/>
      </w:pPr>
      <w:r>
        <w:t xml:space="preserve">Table 4: Consumer price index for the city of Tanger: February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February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February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126,8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-0,9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-3,1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-1,9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1,1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123,5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</w:tr>
    </w:tbl>
    <w:p>
      <w:pPr>
        <w:pStyle w:val="ipcpara0"/>
      </w:pPr>
      <w:r>
        <w:t xml:space="preserve">Source: High Commission for Planning, Department of Statistics - National consumer price survey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2026-03-26T15:13:27Z</dcterms:created>
  <dcterms:modified xsi:type="dcterms:W3CDTF">2026-03-26T15:13:27Z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