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طنجة</w:t>
      </w:r>
    </w:p>
    <w:p>
      <w:pPr>
        <w:pStyle w:val="ipcpara0"/>
      </w:pPr>
      <w:r>
        <w:t xml:space="preserve">في شهر فبراير 2026 ارتفعت أسعار الاستهلاك على المستوى الوطني بنسبة (1.4% ) خلال شهر واحد في حين ارتفعت أسعار الاستهلاك بما يقارب (0.5% ) خلال سنة كاملة.</w:t>
      </w:r>
    </w:p>
    <w:p>
      <w:pPr>
        <w:pStyle w:val="ipccorps"/>
      </w:pPr>
      <w:r>
        <w:t xml:space="preserve">على المستوى الشهري ارتفع الرقم الاستدلالي للمواد ىالغذائية ب 2.7% في شهر فبراير 2026 مقارنة بشهر يناير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10.7 %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6.6 %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3.5 %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2.4 %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1.5 %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0.6 %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0.1 % ‏</w:t>
      </w:r>
    </w:p>
    <w:p>
      <w:pPr>
        <w:pStyle w:val="ipccorps"/>
      </w:pPr>
      <w:r>
        <w:t xml:space="preserve">كما ارتفع التغير الشهري للرقم الاستدلالي للمواد غير الغذائية ب (0.5% ) جراء زيادة أثمان الأقسام التالية: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3.9 % ‏،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0.9 % ‏،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 </w:t>
      </w:r>
      <w:r>
        <w:t xml:space="preserve">ب 0.2 %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-0.7%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-18.4 %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-6.6 %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-3.1 %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-2 %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-0.5 %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18.5 %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6.9 %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6.5 %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4 %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3.7 %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0.3 %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0.2 % ‏ و كذا</w:t>
      </w:r>
      <w:r>
        <w:t xml:space="preserve"> </w:t>
      </w:r>
      <w:r>
        <w:t xml:space="preserve">استقرار أثمان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1.2 %،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-3.1 %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10.8 %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0.5 % مقارنة بشهر فبراير 2025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1.4 % مقارنة بشهر يناير 2026</w:t>
      </w:r>
    </w:p>
    <w:p>
      <w:pPr>
        <w:pStyle w:val="ipcpara0"/>
      </w:pPr>
      <w:r>
        <w:t xml:space="preserve">جدول 4: الرقم الاستدلالي للأثمان عند الاستهلاك لمدينة طنجة فبراير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المصدر: 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2026-03-26T15:13:21Z</dcterms:created>
  <dcterms:modified xsi:type="dcterms:W3CDTF">2026-03-26T15:13:21Z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