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فبراير 2026 ارتفعت أسعار الاستهلاك على المستوى الوطني بنسبة (0.7% ) خلال شهر واحد في حين انخفضت أسعار الاستهلاك بما يقارب (-0.2% ) خلال سنة كاملة.</w:t>
      </w:r>
    </w:p>
    <w:p>
      <w:pPr>
        <w:pStyle w:val="ipccorps"/>
      </w:pPr>
      <w:r>
        <w:t xml:space="preserve">على المستوى الشهري ارتفع الرقم الاستدلالي للمواد ىالغذائية ب 1.1%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7.8 %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3.3 %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0.1 % ‏</w:t>
      </w:r>
    </w:p>
    <w:p>
      <w:pPr>
        <w:pStyle w:val="ipccorps"/>
      </w:pPr>
      <w:r>
        <w:t xml:space="preserve">كما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 </w:t>
      </w:r>
      <w:r>
        <w:t xml:space="preserve">ب 0.4 %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-0.4%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-23.6 %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-5.1 %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-5 %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-2.1 %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-1.9 %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18.6 %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11.8 %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8.4 %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4.7 %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2.1 %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0.5 %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-0.1 %،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-5.6 %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3.6 %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انخفض الرقم الاستدلالي للأثمان عند الاستهلاك</w:t>
      </w:r>
      <w:r>
        <w:t xml:space="preserve"> </w:t>
      </w:r>
      <w:r>
        <w:t xml:space="preserve">-0.2 % مقارنة بشهر فبراير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0.7 % مقارنة بشهر يناير 2026</w:t>
      </w:r>
    </w:p>
    <w:p>
      <w:pPr>
        <w:pStyle w:val="ipcpara0"/>
      </w:pPr>
      <w:r>
        <w:t xml:space="preserve">جدول 2: الرقم الاستدلالي للأثمان عند الاستهلاك لمدينة الحسيمة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2026-03-26T15:13:53Z</dcterms:created>
  <dcterms:modified xsi:type="dcterms:W3CDTF">2026-03-26T15:13:53Z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