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68"/>
        <w:gridCol w:w="9072"/>
      </w:tblGrid>
      <w:tr>
        <w:trPr>
          <w:trHeight w:val="360" w:hRule="auto"/>
        </w:trPr>
        body1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A1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مدينة الحسيمة</w:t>
            </w:r>
          </w:p>
        </w:tc>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الرقم الاستدلالي للأثمان - غشت 2026</w:t>
            </w:r>
          </w:p>
        </w:tc>
      </w:tr>
    </w:tbl>
    <w:p>
      <w:pPr>
        <w:pStyle w:val="ipcpara0"/>
        <w:bidi/>
      </w:pPr>
      <w:r>
        <w:rPr>
          <w:rtl/>
        </w:rPr>
        <w:t xml:space="preserve">في شهر غشت 2026 ارتفعت أسعار الاستهلاك على المستوى الوطني بنسبة (1.6% ) خلال شهر واحد في حين انخفضت أسعار الاستهلاك بما يقارب (2.1’% ) خلال سنة كاملة.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p>
      <w:pPr>
        <w:pStyle w:val="ipccorps"/>
        <w:bidi/>
      </w:pPr>
      <w:r>
        <w:rPr>
          <w:b/>
          <w:bCs/>
          <w:rtl/>
        </w:rPr>
        <w:t xml:space="preserve">على المستوى الشهري،</w:t>
      </w:r>
      <w:r>
        <w:rPr>
          <w:rtl/>
        </w:rPr>
        <w:t xml:space="preserve"> </w:t>
      </w:r>
      <w:r>
        <w:rPr>
          <w:rtl/>
        </w:rPr>
        <w:t xml:space="preserve">على المستوى الشهري ارتفع الرقم الاستدلالي للمواد الغذائية ب</w:t>
      </w:r>
      <w:r>
        <w:rPr>
          <w:rtl/>
        </w:rPr>
        <w:t xml:space="preserve"> </w:t>
      </w:r>
      <w:r>
        <w:rPr>
          <w:rtl/>
        </w:rPr>
        <w:t xml:space="preserve">2.1%</w:t>
      </w:r>
      <w:r>
        <w:rPr>
          <w:rtl/>
        </w:rPr>
        <w:t xml:space="preserve"> </w:t>
      </w:r>
      <w:r>
        <w:rPr>
          <w:rtl/>
        </w:rPr>
        <w:t xml:space="preserve">في شهر غشت 2026 مقارنة بشهر يوليوز .2026 ويعزى ذلك الى زيادة أثمان</w:t>
      </w:r>
      <w:r>
        <w:rPr>
          <w:rtl/>
        </w:rPr>
        <w:t xml:space="preserve"> </w:t>
      </w:r>
      <w:r>
        <w:rPr>
          <w:b/>
          <w:bCs/>
          <w:rtl/>
        </w:rPr>
        <w:t xml:space="preserve">الأسماك والمأكولات البحرية</w:t>
      </w:r>
      <w:r>
        <w:rPr>
          <w:rtl/>
        </w:rPr>
        <w:t xml:space="preserve"> </w:t>
      </w:r>
      <w:r>
        <w:rPr>
          <w:rtl/>
        </w:rPr>
        <w:t xml:space="preserve">ب12,0%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الحليب والجبن والبيض</w:t>
      </w:r>
      <w:r>
        <w:rPr>
          <w:rtl/>
        </w:rPr>
        <w:t xml:space="preserve"> </w:t>
      </w:r>
      <w:r>
        <w:rPr>
          <w:rtl/>
        </w:rPr>
        <w:t xml:space="preserve">ب5,0%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المياه المعدنية، والمشروبات الغازية، وعصائر الفاكهة والخضراوات (بدون تاريخ)</w:t>
      </w:r>
      <w:r>
        <w:rPr>
          <w:rtl/>
        </w:rPr>
        <w:t xml:space="preserve"> </w:t>
      </w:r>
      <w:r>
        <w:rPr>
          <w:rtl/>
        </w:rPr>
        <w:t xml:space="preserve">ب2,1%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اللحم</w:t>
      </w:r>
      <w:r>
        <w:rPr>
          <w:rtl/>
        </w:rPr>
        <w:t xml:space="preserve"> </w:t>
      </w:r>
      <w:r>
        <w:rPr>
          <w:rtl/>
        </w:rPr>
        <w:t xml:space="preserve">ب0,8%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الزيوت والدهون</w:t>
      </w:r>
      <w:r>
        <w:rPr>
          <w:rtl/>
        </w:rPr>
        <w:t xml:space="preserve"> </w:t>
      </w:r>
      <w:r>
        <w:rPr>
          <w:rtl/>
        </w:rPr>
        <w:t xml:space="preserve">ب0,4%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الفواكه</w:t>
      </w:r>
      <w:r>
        <w:rPr>
          <w:rtl/>
        </w:rPr>
        <w:t xml:space="preserve"> </w:t>
      </w:r>
      <w:r>
        <w:rPr>
          <w:rtl/>
        </w:rPr>
        <w:t xml:space="preserve">ب0,3% ‏ و</w:t>
      </w:r>
      <w:r>
        <w:rPr>
          <w:rtl/>
        </w:rPr>
        <w:t xml:space="preserve"> </w:t>
      </w:r>
      <w:r>
        <w:rPr>
          <w:b/>
          <w:bCs/>
          <w:rtl/>
        </w:rPr>
        <w:t xml:space="preserve">السكر، والمربى، والعسل، والشوكولاتة، والحلويات</w:t>
      </w:r>
      <w:r>
        <w:rPr>
          <w:rtl/>
        </w:rPr>
        <w:t xml:space="preserve"> </w:t>
      </w:r>
      <w:r>
        <w:rPr>
          <w:rtl/>
        </w:rPr>
        <w:t xml:space="preserve">ب0,2% ‏</w:t>
      </w:r>
    </w:p>
    <w:p>
      <w:pPr>
        <w:pStyle w:val="ipccorps"/>
        <w:bidi/>
      </w:pPr>
      <w:r>
        <w:rPr>
          <w:rtl/>
        </w:rPr>
        <w:t xml:space="preserve">كما، ارتفع التغير الشهري للرقم الاستدلالي للمواد غير الغذائية ب (1% ) جراء زيادة أثمان الأقسام التالية:</w:t>
      </w:r>
      <w:r>
        <w:rPr>
          <w:rtl/>
        </w:rPr>
        <w:t xml:space="preserve"> </w:t>
      </w:r>
      <w:r>
        <w:rPr>
          <w:b/>
          <w:bCs/>
          <w:rtl/>
        </w:rPr>
        <w:t xml:space="preserve">مواصلات</w:t>
      </w:r>
      <w:r>
        <w:rPr>
          <w:rtl/>
        </w:rPr>
        <w:t xml:space="preserve"> </w:t>
      </w:r>
      <w:r>
        <w:rPr>
          <w:rtl/>
        </w:rPr>
        <w:t xml:space="preserve">ب5,6%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المطاعم والفنادق</w:t>
      </w:r>
      <w:r>
        <w:rPr>
          <w:rtl/>
        </w:rPr>
        <w:t xml:space="preserve"> </w:t>
      </w:r>
      <w:r>
        <w:rPr>
          <w:rtl/>
        </w:rPr>
        <w:t xml:space="preserve">ب1,0% ‏ و</w:t>
      </w:r>
      <w:r>
        <w:rPr>
          <w:rtl/>
        </w:rPr>
        <w:t xml:space="preserve"> </w:t>
      </w:r>
      <w:r>
        <w:rPr>
          <w:b/>
          <w:bCs/>
          <w:rtl/>
        </w:rPr>
        <w:t xml:space="preserve">سلع وخدمات متنوعة</w:t>
      </w:r>
      <w:r>
        <w:rPr>
          <w:rtl/>
        </w:rPr>
        <w:t xml:space="preserve"> </w:t>
      </w:r>
      <w:r>
        <w:rPr>
          <w:rtl/>
        </w:rPr>
        <w:t xml:space="preserve">ب0,3% ‏ . NA ارتفع التغير الشهري للرقم الاستدلالي للمواد غير الغذائية ب (1% ) جراء زيادة أثمان الأقسام التالية:</w:t>
      </w:r>
      <w:r>
        <w:rPr>
          <w:rtl/>
        </w:rPr>
        <w:t xml:space="preserve"> </w:t>
      </w:r>
      <w:r>
        <w:rPr>
          <w:b/>
          <w:bCs/>
          <w:rtl/>
        </w:rPr>
        <w:t xml:space="preserve">مواصلات</w:t>
      </w:r>
      <w:r>
        <w:rPr>
          <w:rtl/>
        </w:rPr>
        <w:t xml:space="preserve"> </w:t>
      </w:r>
      <w:r>
        <w:rPr>
          <w:rtl/>
        </w:rPr>
        <w:t xml:space="preserve">ب5,6%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المطاعم والفنادق</w:t>
      </w:r>
      <w:r>
        <w:rPr>
          <w:rtl/>
        </w:rPr>
        <w:t xml:space="preserve"> </w:t>
      </w:r>
      <w:r>
        <w:rPr>
          <w:rtl/>
        </w:rPr>
        <w:t xml:space="preserve">ب1,0% ‏ و</w:t>
      </w:r>
      <w:r>
        <w:rPr>
          <w:rtl/>
        </w:rPr>
        <w:t xml:space="preserve"> </w:t>
      </w:r>
      <w:r>
        <w:rPr>
          <w:b/>
          <w:bCs/>
          <w:rtl/>
        </w:rPr>
        <w:t xml:space="preserve">سلع وخدمات متنوعة</w:t>
      </w:r>
      <w:r>
        <w:rPr>
          <w:rtl/>
        </w:rPr>
        <w:t xml:space="preserve"> </w:t>
      </w:r>
      <w:r>
        <w:rPr>
          <w:rtl/>
        </w:rPr>
        <w:t xml:space="preserve">ب0,3% ‏ . ارتفع التغير الشهري للرقم الاستدلالي للمواد غير الغذائية ب (1% ) جراء زيادة أثمان الأقسام التالية:</w:t>
      </w:r>
      <w:r>
        <w:rPr>
          <w:rtl/>
        </w:rPr>
        <w:t xml:space="preserve"> </w:t>
      </w:r>
      <w:r>
        <w:rPr>
          <w:b/>
          <w:bCs/>
          <w:rtl/>
        </w:rPr>
        <w:t xml:space="preserve">مواصلات</w:t>
      </w:r>
      <w:r>
        <w:rPr>
          <w:rtl/>
        </w:rPr>
        <w:t xml:space="preserve"> </w:t>
      </w:r>
      <w:r>
        <w:rPr>
          <w:rtl/>
        </w:rPr>
        <w:t xml:space="preserve">ب5,6%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المطاعم والفنادق</w:t>
      </w:r>
      <w:r>
        <w:rPr>
          <w:rtl/>
        </w:rPr>
        <w:t xml:space="preserve"> </w:t>
      </w:r>
      <w:r>
        <w:rPr>
          <w:rtl/>
        </w:rPr>
        <w:t xml:space="preserve">ب1,0% ‏ و</w:t>
      </w:r>
      <w:r>
        <w:rPr>
          <w:rtl/>
        </w:rPr>
        <w:t xml:space="preserve"> </w:t>
      </w:r>
      <w:r>
        <w:rPr>
          <w:b/>
          <w:bCs/>
          <w:rtl/>
        </w:rPr>
        <w:t xml:space="preserve">سلع وخدمات متنوعة</w:t>
      </w:r>
      <w:r>
        <w:rPr>
          <w:rtl/>
        </w:rPr>
        <w:t xml:space="preserve"> </w:t>
      </w:r>
      <w:r>
        <w:rPr>
          <w:rtl/>
        </w:rPr>
        <w:t xml:space="preserve">ب0,3% ‏ .</w:t>
      </w:r>
    </w:p>
    <w:p>
      <w:pPr>
        <w:pStyle w:val="ipccorps"/>
        <w:bidi/>
      </w:pPr>
      <w:r>
        <w:rPr>
          <w:b/>
          <w:bCs/>
          <w:rtl/>
        </w:rPr>
        <w:t xml:space="preserve">على المستوى السنوي,</w:t>
      </w:r>
      <w:r>
        <w:rPr>
          <w:rtl/>
        </w:rPr>
        <w:t xml:space="preserve"> </w:t>
      </w:r>
      <w:r>
        <w:rPr>
          <w:rtl/>
        </w:rPr>
        <w:t xml:space="preserve">انخفض الرقم الاستدلالي للمواد الغذائية</w:t>
      </w:r>
      <w:r>
        <w:rPr>
          <w:rtl/>
        </w:rPr>
        <w:t xml:space="preserve"> </w:t>
      </w:r>
      <w:r>
        <w:rPr>
          <w:rtl/>
        </w:rPr>
        <w:t xml:space="preserve">ب -6% في نونبر 2025 مقارنة بنظيره من السنة الماضية،ويعزى ذلك إلى تراجع أثمان المواد المكونة للمجموعات التالية:</w:t>
      </w:r>
      <w:r>
        <w:rPr>
          <w:rtl/>
        </w:rPr>
        <w:t xml:space="preserve"> </w:t>
      </w:r>
      <w:r>
        <w:rPr>
          <w:b/>
          <w:bCs/>
          <w:rtl/>
        </w:rPr>
        <w:t xml:space="preserve">الزيوت والدهون</w:t>
      </w:r>
      <w:r>
        <w:rPr>
          <w:rtl/>
        </w:rPr>
        <w:t xml:space="preserve"> </w:t>
      </w:r>
      <w:r>
        <w:rPr>
          <w:rtl/>
        </w:rPr>
        <w:t xml:space="preserve">ب26,9%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الفواكه</w:t>
      </w:r>
      <w:r>
        <w:rPr>
          <w:rtl/>
        </w:rPr>
        <w:t xml:space="preserve"> </w:t>
      </w:r>
      <w:r>
        <w:rPr>
          <w:rtl/>
        </w:rPr>
        <w:t xml:space="preserve">ب11,5%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الخضراوات</w:t>
      </w:r>
      <w:r>
        <w:rPr>
          <w:rtl/>
        </w:rPr>
        <w:t xml:space="preserve"> </w:t>
      </w:r>
      <w:r>
        <w:rPr>
          <w:rtl/>
        </w:rPr>
        <w:t xml:space="preserve">ب7,5%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الحليب والجبن والبيض</w:t>
      </w:r>
      <w:r>
        <w:rPr>
          <w:rtl/>
        </w:rPr>
        <w:t xml:space="preserve"> </w:t>
      </w:r>
      <w:r>
        <w:rPr>
          <w:rtl/>
        </w:rPr>
        <w:t xml:space="preserve">ب4,7%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الأسماك والمأكولات البحرية</w:t>
      </w:r>
      <w:r>
        <w:rPr>
          <w:rtl/>
        </w:rPr>
        <w:t xml:space="preserve"> </w:t>
      </w:r>
      <w:r>
        <w:rPr>
          <w:rtl/>
        </w:rPr>
        <w:t xml:space="preserve">ب3,4%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مواد غذائية غير مصنفة في مكان آخر</w:t>
      </w:r>
      <w:r>
        <w:rPr>
          <w:rtl/>
        </w:rPr>
        <w:t xml:space="preserve"> </w:t>
      </w:r>
      <w:r>
        <w:rPr>
          <w:rtl/>
        </w:rPr>
        <w:t xml:space="preserve">ب2,2% ‏ و</w:t>
      </w:r>
      <w:r>
        <w:rPr>
          <w:rtl/>
        </w:rPr>
        <w:t xml:space="preserve"> </w:t>
      </w:r>
      <w:r>
        <w:rPr>
          <w:b/>
          <w:bCs/>
          <w:rtl/>
        </w:rPr>
        <w:t xml:space="preserve">الخبز والحبوب</w:t>
      </w:r>
      <w:r>
        <w:rPr>
          <w:rtl/>
        </w:rPr>
        <w:t xml:space="preserve"> </w:t>
      </w:r>
      <w:r>
        <w:rPr>
          <w:rtl/>
        </w:rPr>
        <w:t xml:space="preserve">ب1,0% ‏. وعلى الرغم من الارتفاعات المسجلة في أثمان المواد</w:t>
      </w:r>
      <w:r>
        <w:rPr>
          <w:rtl/>
        </w:rPr>
        <w:t xml:space="preserve"> </w:t>
      </w:r>
      <w:r>
        <w:rPr>
          <w:rtl/>
        </w:rPr>
        <w:t xml:space="preserve">المكونة للمجموعات التالية:</w:t>
      </w:r>
      <w:r>
        <w:rPr>
          <w:rtl/>
        </w:rPr>
        <w:t xml:space="preserve"> </w:t>
      </w:r>
      <w:r>
        <w:rPr>
          <w:b/>
          <w:bCs/>
          <w:rtl/>
        </w:rPr>
        <w:t xml:space="preserve">مقهى، شاي وكاكاو</w:t>
      </w:r>
      <w:r>
        <w:rPr>
          <w:rtl/>
        </w:rPr>
        <w:t xml:space="preserve"> </w:t>
      </w:r>
      <w:r>
        <w:rPr>
          <w:rtl/>
        </w:rPr>
        <w:t xml:space="preserve">ب8,9%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التبغ</w:t>
      </w:r>
      <w:r>
        <w:rPr>
          <w:rtl/>
        </w:rPr>
        <w:t xml:space="preserve"> </w:t>
      </w:r>
      <w:r>
        <w:rPr>
          <w:rtl/>
        </w:rPr>
        <w:t xml:space="preserve">ب5,0%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اللحم</w:t>
      </w:r>
      <w:r>
        <w:rPr>
          <w:rtl/>
        </w:rPr>
        <w:t xml:space="preserve"> </w:t>
      </w:r>
      <w:r>
        <w:rPr>
          <w:rtl/>
        </w:rPr>
        <w:t xml:space="preserve">ب4,6%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المياه المعدنية، والمشروبات الغازية، وعصائر الفاكهة والخضراوات (بدون تاريخ)</w:t>
      </w:r>
      <w:r>
        <w:rPr>
          <w:rtl/>
        </w:rPr>
        <w:t xml:space="preserve"> </w:t>
      </w:r>
      <w:r>
        <w:rPr>
          <w:rtl/>
        </w:rPr>
        <w:t xml:space="preserve">ب1,6% ‏ و</w:t>
      </w:r>
      <w:r>
        <w:rPr>
          <w:rtl/>
        </w:rPr>
        <w:t xml:space="preserve"> </w:t>
      </w:r>
      <w:r>
        <w:rPr>
          <w:b/>
          <w:bCs/>
          <w:rtl/>
        </w:rPr>
        <w:t xml:space="preserve">السكر، والمربى، والعسل، والشوكولاتة، والحلويات</w:t>
      </w:r>
      <w:r>
        <w:rPr>
          <w:rtl/>
        </w:rPr>
        <w:t xml:space="preserve"> </w:t>
      </w:r>
      <w:r>
        <w:rPr>
          <w:rtl/>
        </w:rPr>
        <w:t xml:space="preserve">ب0,4% ‏ و كذا</w:t>
      </w:r>
      <w:r>
        <w:rPr>
          <w:rtl/>
        </w:rPr>
        <w:t xml:space="preserve"> </w:t>
      </w:r>
      <w:r>
        <w:rPr>
          <w:rtl/>
        </w:rPr>
        <w:t xml:space="preserve">استقرار أثمان NA فإن ذلك لم يؤثر على التطور</w:t>
      </w:r>
      <w:r>
        <w:rPr>
          <w:rtl/>
        </w:rPr>
        <w:t xml:space="preserve"> </w:t>
      </w:r>
      <w:r>
        <w:rPr>
          <w:rtl/>
        </w:rPr>
        <w:t xml:space="preserve">العام. ارتفع الرقم الاستدلالي للمواد الغذائية</w:t>
      </w:r>
      <w:r>
        <w:rPr>
          <w:rtl/>
        </w:rPr>
        <w:t xml:space="preserve"> </w:t>
      </w:r>
      <w:r>
        <w:rPr>
          <w:rtl/>
        </w:rPr>
        <w:t xml:space="preserve">ب -6% في نونبر 2025 مقارنة بنظيره من السنة الماضية،ويعزى ذلك إلى زيادة أثمان المواد المكونة للمجموعات التالية:</w:t>
      </w:r>
      <w:r>
        <w:rPr>
          <w:rtl/>
        </w:rPr>
        <w:t xml:space="preserve"> </w:t>
      </w:r>
      <w:r>
        <w:rPr>
          <w:b/>
          <w:bCs/>
          <w:rtl/>
        </w:rPr>
        <w:t xml:space="preserve">مقهى، شاي وكاكاو</w:t>
      </w:r>
      <w:r>
        <w:rPr>
          <w:rtl/>
        </w:rPr>
        <w:t xml:space="preserve"> </w:t>
      </w:r>
      <w:r>
        <w:rPr>
          <w:rtl/>
        </w:rPr>
        <w:t xml:space="preserve">ب8,9%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التبغ</w:t>
      </w:r>
      <w:r>
        <w:rPr>
          <w:rtl/>
        </w:rPr>
        <w:t xml:space="preserve"> </w:t>
      </w:r>
      <w:r>
        <w:rPr>
          <w:rtl/>
        </w:rPr>
        <w:t xml:space="preserve">ب5,0%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اللحم</w:t>
      </w:r>
      <w:r>
        <w:rPr>
          <w:rtl/>
        </w:rPr>
        <w:t xml:space="preserve"> </w:t>
      </w:r>
      <w:r>
        <w:rPr>
          <w:rtl/>
        </w:rPr>
        <w:t xml:space="preserve">ب4,6%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المياه المعدنية، والمشروبات الغازية، وعصائر الفاكهة والخضراوات (بدون تاريخ)</w:t>
      </w:r>
      <w:r>
        <w:rPr>
          <w:rtl/>
        </w:rPr>
        <w:t xml:space="preserve"> </w:t>
      </w:r>
      <w:r>
        <w:rPr>
          <w:rtl/>
        </w:rPr>
        <w:t xml:space="preserve">ب1,6% ‏ و</w:t>
      </w:r>
      <w:r>
        <w:rPr>
          <w:rtl/>
        </w:rPr>
        <w:t xml:space="preserve"> </w:t>
      </w:r>
      <w:r>
        <w:rPr>
          <w:b/>
          <w:bCs/>
          <w:rtl/>
        </w:rPr>
        <w:t xml:space="preserve">السكر، والمربى، والعسل، والشوكولاتة، والحلويات</w:t>
      </w:r>
      <w:r>
        <w:rPr>
          <w:rtl/>
        </w:rPr>
        <w:t xml:space="preserve"> </w:t>
      </w:r>
      <w:r>
        <w:rPr>
          <w:rtl/>
        </w:rPr>
        <w:t xml:space="preserve">ب0,4% ‏. وعلى الرغم من الانخفاضات المسجلة في أثمان المواد</w:t>
      </w:r>
      <w:r>
        <w:rPr>
          <w:rtl/>
        </w:rPr>
        <w:t xml:space="preserve"> </w:t>
      </w:r>
      <w:r>
        <w:rPr>
          <w:rtl/>
        </w:rPr>
        <w:t xml:space="preserve">المكونة للمجموعات التالية:</w:t>
      </w:r>
      <w:r>
        <w:rPr>
          <w:rtl/>
        </w:rPr>
        <w:t xml:space="preserve"> </w:t>
      </w:r>
      <w:r>
        <w:rPr>
          <w:b/>
          <w:bCs/>
          <w:rtl/>
        </w:rPr>
        <w:t xml:space="preserve">الزيوت والدهون</w:t>
      </w:r>
      <w:r>
        <w:rPr>
          <w:rtl/>
        </w:rPr>
        <w:t xml:space="preserve"> </w:t>
      </w:r>
      <w:r>
        <w:rPr>
          <w:rtl/>
        </w:rPr>
        <w:t xml:space="preserve">ب26,9%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الفواكه</w:t>
      </w:r>
      <w:r>
        <w:rPr>
          <w:rtl/>
        </w:rPr>
        <w:t xml:space="preserve"> </w:t>
      </w:r>
      <w:r>
        <w:rPr>
          <w:rtl/>
        </w:rPr>
        <w:t xml:space="preserve">ب11,5%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الخضراوات</w:t>
      </w:r>
      <w:r>
        <w:rPr>
          <w:rtl/>
        </w:rPr>
        <w:t xml:space="preserve"> </w:t>
      </w:r>
      <w:r>
        <w:rPr>
          <w:rtl/>
        </w:rPr>
        <w:t xml:space="preserve">ب7,5%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الحليب والجبن والبيض</w:t>
      </w:r>
      <w:r>
        <w:rPr>
          <w:rtl/>
        </w:rPr>
        <w:t xml:space="preserve"> </w:t>
      </w:r>
      <w:r>
        <w:rPr>
          <w:rtl/>
        </w:rPr>
        <w:t xml:space="preserve">ب4,7%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الأسماك والمأكولات البحرية</w:t>
      </w:r>
      <w:r>
        <w:rPr>
          <w:rtl/>
        </w:rPr>
        <w:t xml:space="preserve"> </w:t>
      </w:r>
      <w:r>
        <w:rPr>
          <w:rtl/>
        </w:rPr>
        <w:t xml:space="preserve">ب3,4%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مواد غذائية غير مصنفة في مكان آخر</w:t>
      </w:r>
      <w:r>
        <w:rPr>
          <w:rtl/>
        </w:rPr>
        <w:t xml:space="preserve"> </w:t>
      </w:r>
      <w:r>
        <w:rPr>
          <w:rtl/>
        </w:rPr>
        <w:t xml:space="preserve">ب2,2% ‏ و</w:t>
      </w:r>
      <w:r>
        <w:rPr>
          <w:rtl/>
        </w:rPr>
        <w:t xml:space="preserve"> </w:t>
      </w:r>
      <w:r>
        <w:rPr>
          <w:b/>
          <w:bCs/>
          <w:rtl/>
        </w:rPr>
        <w:t xml:space="preserve">الخبز والحبوب</w:t>
      </w:r>
      <w:r>
        <w:rPr>
          <w:rtl/>
        </w:rPr>
        <w:t xml:space="preserve"> </w:t>
      </w:r>
      <w:r>
        <w:rPr>
          <w:rtl/>
        </w:rPr>
        <w:t xml:space="preserve">ب1,0% ‏ و كذا</w:t>
      </w:r>
      <w:r>
        <w:rPr>
          <w:rtl/>
        </w:rPr>
        <w:t xml:space="preserve"> </w:t>
      </w:r>
      <w:r>
        <w:rPr>
          <w:rtl/>
        </w:rPr>
        <w:t xml:space="preserve">استقرار أثمان NA فإن ذلك لم يؤثر على التطور</w:t>
      </w:r>
      <w:r>
        <w:rPr>
          <w:rtl/>
        </w:rPr>
        <w:t xml:space="preserve"> </w:t>
      </w:r>
      <w:r>
        <w:rPr>
          <w:rtl/>
        </w:rPr>
        <w:t xml:space="preserve">العام. ارتفع الرقم الاستدلالي للمواد الغذائية</w:t>
      </w:r>
      <w:r>
        <w:rPr>
          <w:rtl/>
        </w:rPr>
        <w:t xml:space="preserve"> </w:t>
      </w:r>
      <w:r>
        <w:rPr>
          <w:rtl/>
        </w:rPr>
        <w:t xml:space="preserve">ب -6% في نونبر 2025 مقارنة بنظيره من السنة الماضية،ويعزى ذلك إلى زيادة أثمان المواد المكونة للمجموعات التالية:</w:t>
      </w:r>
      <w:r>
        <w:rPr>
          <w:rtl/>
        </w:rPr>
        <w:t xml:space="preserve"> </w:t>
      </w:r>
      <w:r>
        <w:rPr>
          <w:b/>
          <w:bCs/>
          <w:rtl/>
        </w:rPr>
        <w:t xml:space="preserve">مقهى، شاي وكاكاو</w:t>
      </w:r>
      <w:r>
        <w:rPr>
          <w:rtl/>
        </w:rPr>
        <w:t xml:space="preserve"> </w:t>
      </w:r>
      <w:r>
        <w:rPr>
          <w:rtl/>
        </w:rPr>
        <w:t xml:space="preserve">ب8,9%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التبغ</w:t>
      </w:r>
      <w:r>
        <w:rPr>
          <w:rtl/>
        </w:rPr>
        <w:t xml:space="preserve"> </w:t>
      </w:r>
      <w:r>
        <w:rPr>
          <w:rtl/>
        </w:rPr>
        <w:t xml:space="preserve">ب5,0%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اللحم</w:t>
      </w:r>
      <w:r>
        <w:rPr>
          <w:rtl/>
        </w:rPr>
        <w:t xml:space="preserve"> </w:t>
      </w:r>
      <w:r>
        <w:rPr>
          <w:rtl/>
        </w:rPr>
        <w:t xml:space="preserve">ب4,6%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المياه المعدنية، والمشروبات الغازية، وعصائر الفاكهة والخضراوات (بدون تاريخ)</w:t>
      </w:r>
      <w:r>
        <w:rPr>
          <w:rtl/>
        </w:rPr>
        <w:t xml:space="preserve"> </w:t>
      </w:r>
      <w:r>
        <w:rPr>
          <w:rtl/>
        </w:rPr>
        <w:t xml:space="preserve">ب1,6% ‏ و</w:t>
      </w:r>
      <w:r>
        <w:rPr>
          <w:rtl/>
        </w:rPr>
        <w:t xml:space="preserve"> </w:t>
      </w:r>
      <w:r>
        <w:rPr>
          <w:b/>
          <w:bCs/>
          <w:rtl/>
        </w:rPr>
        <w:t xml:space="preserve">السكر، والمربى، والعسل، والشوكولاتة، والحلويات</w:t>
      </w:r>
      <w:r>
        <w:rPr>
          <w:rtl/>
        </w:rPr>
        <w:t xml:space="preserve"> </w:t>
      </w:r>
      <w:r>
        <w:rPr>
          <w:rtl/>
        </w:rPr>
        <w:t xml:space="preserve">ب0,4% ‏. وعلى الرغم من الانخفاضات المسجلة في أثمان المواد</w:t>
      </w:r>
      <w:r>
        <w:rPr>
          <w:rtl/>
        </w:rPr>
        <w:t xml:space="preserve"> </w:t>
      </w:r>
      <w:r>
        <w:rPr>
          <w:rtl/>
        </w:rPr>
        <w:t xml:space="preserve">المكونة للمجموعات التالية:</w:t>
      </w:r>
      <w:r>
        <w:rPr>
          <w:rtl/>
        </w:rPr>
        <w:t xml:space="preserve"> </w:t>
      </w:r>
      <w:r>
        <w:rPr>
          <w:b/>
          <w:bCs/>
          <w:rtl/>
        </w:rPr>
        <w:t xml:space="preserve">الزيوت والدهون</w:t>
      </w:r>
      <w:r>
        <w:rPr>
          <w:rtl/>
        </w:rPr>
        <w:t xml:space="preserve"> </w:t>
      </w:r>
      <w:r>
        <w:rPr>
          <w:rtl/>
        </w:rPr>
        <w:t xml:space="preserve">ب26,9%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الفواكه</w:t>
      </w:r>
      <w:r>
        <w:rPr>
          <w:rtl/>
        </w:rPr>
        <w:t xml:space="preserve"> </w:t>
      </w:r>
      <w:r>
        <w:rPr>
          <w:rtl/>
        </w:rPr>
        <w:t xml:space="preserve">ب11,5%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الخضراوات</w:t>
      </w:r>
      <w:r>
        <w:rPr>
          <w:rtl/>
        </w:rPr>
        <w:t xml:space="preserve"> </w:t>
      </w:r>
      <w:r>
        <w:rPr>
          <w:rtl/>
        </w:rPr>
        <w:t xml:space="preserve">ب7,5%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الحليب والجبن والبيض</w:t>
      </w:r>
      <w:r>
        <w:rPr>
          <w:rtl/>
        </w:rPr>
        <w:t xml:space="preserve"> </w:t>
      </w:r>
      <w:r>
        <w:rPr>
          <w:rtl/>
        </w:rPr>
        <w:t xml:space="preserve">ب4,7%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الأسماك والمأكولات البحرية</w:t>
      </w:r>
      <w:r>
        <w:rPr>
          <w:rtl/>
        </w:rPr>
        <w:t xml:space="preserve"> </w:t>
      </w:r>
      <w:r>
        <w:rPr>
          <w:rtl/>
        </w:rPr>
        <w:t xml:space="preserve">ب3,4%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مواد غذائية غير مصنفة في مكان آخر</w:t>
      </w:r>
      <w:r>
        <w:rPr>
          <w:rtl/>
        </w:rPr>
        <w:t xml:space="preserve"> </w:t>
      </w:r>
      <w:r>
        <w:rPr>
          <w:rtl/>
        </w:rPr>
        <w:t xml:space="preserve">ب2,2% ‏ و</w:t>
      </w:r>
      <w:r>
        <w:rPr>
          <w:rtl/>
        </w:rPr>
        <w:t xml:space="preserve"> </w:t>
      </w:r>
      <w:r>
        <w:rPr>
          <w:b/>
          <w:bCs/>
          <w:rtl/>
        </w:rPr>
        <w:t xml:space="preserve">الخبز والحبوب</w:t>
      </w:r>
      <w:r>
        <w:rPr>
          <w:rtl/>
        </w:rPr>
        <w:t xml:space="preserve"> </w:t>
      </w:r>
      <w:r>
        <w:rPr>
          <w:rtl/>
        </w:rPr>
        <w:t xml:space="preserve">ب1,0% ‏ و كذا</w:t>
      </w:r>
      <w:r>
        <w:rPr>
          <w:rtl/>
        </w:rPr>
        <w:t xml:space="preserve"> </w:t>
      </w:r>
      <w:r>
        <w:rPr>
          <w:rtl/>
        </w:rPr>
        <w:t xml:space="preserve">استقرار أثمان NA فإن ذلك لم يؤثر على التطور</w:t>
      </w:r>
      <w:r>
        <w:rPr>
          <w:rtl/>
        </w:rPr>
        <w:t xml:space="preserve"> </w:t>
      </w:r>
      <w:r>
        <w:rPr>
          <w:rtl/>
        </w:rPr>
        <w:t xml:space="preserve">العام. ارتفع الرقم الاستدلالي للمواد الغذائية</w:t>
      </w:r>
      <w:r>
        <w:rPr>
          <w:rtl/>
        </w:rPr>
        <w:t xml:space="preserve"> </w:t>
      </w:r>
      <w:r>
        <w:rPr>
          <w:rtl/>
        </w:rPr>
        <w:t xml:space="preserve">ب -6% في نونبر 2025 مقارنة بنظيره من السنة الماضية،ويعزى ذلك إلى زيادة أثمان المواد المكونة للمجموعات التالية:</w:t>
      </w:r>
      <w:r>
        <w:rPr>
          <w:rtl/>
        </w:rPr>
        <w:t xml:space="preserve"> </w:t>
      </w:r>
      <w:r>
        <w:rPr>
          <w:b/>
          <w:bCs/>
          <w:rtl/>
        </w:rPr>
        <w:t xml:space="preserve">مقهى، شاي وكاكاو</w:t>
      </w:r>
      <w:r>
        <w:rPr>
          <w:rtl/>
        </w:rPr>
        <w:t xml:space="preserve"> </w:t>
      </w:r>
      <w:r>
        <w:rPr>
          <w:rtl/>
        </w:rPr>
        <w:t xml:space="preserve">ب8,9%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التبغ</w:t>
      </w:r>
      <w:r>
        <w:rPr>
          <w:rtl/>
        </w:rPr>
        <w:t xml:space="preserve"> </w:t>
      </w:r>
      <w:r>
        <w:rPr>
          <w:rtl/>
        </w:rPr>
        <w:t xml:space="preserve">ب5,0%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اللحم</w:t>
      </w:r>
      <w:r>
        <w:rPr>
          <w:rtl/>
        </w:rPr>
        <w:t xml:space="preserve"> </w:t>
      </w:r>
      <w:r>
        <w:rPr>
          <w:rtl/>
        </w:rPr>
        <w:t xml:space="preserve">ب4,6%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المياه المعدنية، والمشروبات الغازية، وعصائر الفاكهة والخضراوات (بدون تاريخ)</w:t>
      </w:r>
      <w:r>
        <w:rPr>
          <w:rtl/>
        </w:rPr>
        <w:t xml:space="preserve"> </w:t>
      </w:r>
      <w:r>
        <w:rPr>
          <w:rtl/>
        </w:rPr>
        <w:t xml:space="preserve">ب1,6% ‏ و</w:t>
      </w:r>
      <w:r>
        <w:rPr>
          <w:rtl/>
        </w:rPr>
        <w:t xml:space="preserve"> </w:t>
      </w:r>
      <w:r>
        <w:rPr>
          <w:b/>
          <w:bCs/>
          <w:rtl/>
        </w:rPr>
        <w:t xml:space="preserve">السكر، والمربى، والعسل، والشوكولاتة، والحلويات</w:t>
      </w:r>
      <w:r>
        <w:rPr>
          <w:rtl/>
        </w:rPr>
        <w:t xml:space="preserve"> </w:t>
      </w:r>
      <w:r>
        <w:rPr>
          <w:rtl/>
        </w:rPr>
        <w:t xml:space="preserve">ب0,4% ‏. وعلى الرغم من الانخفاضات المسجلة في أثمان المواد</w:t>
      </w:r>
      <w:r>
        <w:rPr>
          <w:rtl/>
        </w:rPr>
        <w:t xml:space="preserve"> </w:t>
      </w:r>
      <w:r>
        <w:rPr>
          <w:rtl/>
        </w:rPr>
        <w:t xml:space="preserve">المكونة للمجموعات التالية:</w:t>
      </w:r>
      <w:r>
        <w:rPr>
          <w:rtl/>
        </w:rPr>
        <w:t xml:space="preserve"> </w:t>
      </w:r>
      <w:r>
        <w:rPr>
          <w:b/>
          <w:bCs/>
          <w:rtl/>
        </w:rPr>
        <w:t xml:space="preserve">الزيوت والدهون</w:t>
      </w:r>
      <w:r>
        <w:rPr>
          <w:rtl/>
        </w:rPr>
        <w:t xml:space="preserve"> </w:t>
      </w:r>
      <w:r>
        <w:rPr>
          <w:rtl/>
        </w:rPr>
        <w:t xml:space="preserve">ب26,9%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الفواكه</w:t>
      </w:r>
      <w:r>
        <w:rPr>
          <w:rtl/>
        </w:rPr>
        <w:t xml:space="preserve"> </w:t>
      </w:r>
      <w:r>
        <w:rPr>
          <w:rtl/>
        </w:rPr>
        <w:t xml:space="preserve">ب11,5%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الخضراوات</w:t>
      </w:r>
      <w:r>
        <w:rPr>
          <w:rtl/>
        </w:rPr>
        <w:t xml:space="preserve"> </w:t>
      </w:r>
      <w:r>
        <w:rPr>
          <w:rtl/>
        </w:rPr>
        <w:t xml:space="preserve">ب7,5%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الحليب والجبن والبيض</w:t>
      </w:r>
      <w:r>
        <w:rPr>
          <w:rtl/>
        </w:rPr>
        <w:t xml:space="preserve"> </w:t>
      </w:r>
      <w:r>
        <w:rPr>
          <w:rtl/>
        </w:rPr>
        <w:t xml:space="preserve">ب4,7%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الأسماك والمأكولات البحرية</w:t>
      </w:r>
      <w:r>
        <w:rPr>
          <w:rtl/>
        </w:rPr>
        <w:t xml:space="preserve"> </w:t>
      </w:r>
      <w:r>
        <w:rPr>
          <w:rtl/>
        </w:rPr>
        <w:t xml:space="preserve">ب3,4%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مواد غذائية غير مصنفة في مكان آخر</w:t>
      </w:r>
      <w:r>
        <w:rPr>
          <w:rtl/>
        </w:rPr>
        <w:t xml:space="preserve"> </w:t>
      </w:r>
      <w:r>
        <w:rPr>
          <w:rtl/>
        </w:rPr>
        <w:t xml:space="preserve">ب2,2% ‏ و</w:t>
      </w:r>
      <w:r>
        <w:rPr>
          <w:rtl/>
        </w:rPr>
        <w:t xml:space="preserve"> </w:t>
      </w:r>
      <w:r>
        <w:rPr>
          <w:b/>
          <w:bCs/>
          <w:rtl/>
        </w:rPr>
        <w:t xml:space="preserve">الخبز والحبوب</w:t>
      </w:r>
      <w:r>
        <w:rPr>
          <w:rtl/>
        </w:rPr>
        <w:t xml:space="preserve"> </w:t>
      </w:r>
      <w:r>
        <w:rPr>
          <w:rtl/>
        </w:rPr>
        <w:t xml:space="preserve">ب1,0% ‏ و كذا</w:t>
      </w:r>
      <w:r>
        <w:rPr>
          <w:rtl/>
        </w:rPr>
        <w:t xml:space="preserve"> </w:t>
      </w:r>
      <w:r>
        <w:rPr>
          <w:rtl/>
        </w:rPr>
        <w:t xml:space="preserve">استقرار أثمان NA فإن ذلك لم يؤثر على التطور</w:t>
      </w:r>
      <w:r>
        <w:rPr>
          <w:rtl/>
        </w:rPr>
        <w:t xml:space="preserve"> </w:t>
      </w:r>
      <w:r>
        <w:rPr>
          <w:rtl/>
        </w:rPr>
        <w:t xml:space="preserve">العام.</w:t>
      </w:r>
    </w:p>
    <w:p>
      <w:pPr>
        <w:pStyle w:val="ipccorps"/>
        <w:bidi/>
      </w:pPr>
      <w:r>
        <w:rPr>
          <w:rtl/>
        </w:rPr>
        <w:t xml:space="preserve">في حين، سجل التغير السنوي لمؤشر المواد غير الغذائية ارتفاعا ب 3.3 %، نتيجة التباين بين أقسامه حيث انخفض قسم</w:t>
      </w:r>
      <w:r>
        <w:rPr>
          <w:rtl/>
        </w:rPr>
        <w:t xml:space="preserve"> </w:t>
      </w:r>
      <w:r>
        <w:rPr>
          <w:b/>
          <w:bCs/>
          <w:rtl/>
        </w:rPr>
        <w:t xml:space="preserve">الأثاث والأدوات المنزلية والصيانة المنزلية الروتينية</w:t>
      </w:r>
      <w:r>
        <w:rPr>
          <w:rtl/>
        </w:rPr>
        <w:t xml:space="preserve">ب0,9% ‏ بينما ارتفع</w:t>
      </w:r>
      <w:r>
        <w:rPr>
          <w:rtl/>
        </w:rPr>
        <w:t xml:space="preserve"> </w:t>
      </w:r>
      <w:r>
        <w:rPr>
          <w:b/>
          <w:bCs/>
          <w:rtl/>
        </w:rPr>
        <w:t xml:space="preserve">مواصلات</w:t>
      </w:r>
      <w:r>
        <w:rPr>
          <w:rtl/>
        </w:rPr>
        <w:t xml:space="preserve">ب11,3% ‏</w:t>
      </w:r>
    </w:p>
    <w:p>
      <w:pPr>
        <w:pStyle w:val="ipctitre0"/>
        <w:bidi/>
      </w:pPr>
      <w:r>
        <w:rPr>
          <w:rtl/>
        </w:rPr>
        <w:t xml:space="preserve">4- تطور معدل التغير السنوي (%) للرقم الاستدلالي للأثمان عند الاستهلاك لشهر غشت</w:t>
      </w:r>
    </w:p>
    <w:p>
      <w:pPr>
        <w:bidi/>
      </w:pPr>
      <w:r>
        <w:drawing>
          <wp:inline>
            <wp:extent cx="3347999" cy="20627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../Rapports_mensuels/Mois2026_08/Graphique_variation_annuelle2026_08_Ville17_a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06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  <w:bidi/>
      </w:pPr>
      <w:r>
        <w:rPr>
          <w:u w:val="single"/>
          <w:rtl/>
        </w:rPr>
        <w:t xml:space="preserve">قراءة:</w:t>
      </w:r>
      <w:r>
        <w:rPr>
          <w:rtl/>
        </w:rPr>
        <w:t xml:space="preserve"> </w:t>
      </w:r>
      <w:r>
        <w:rPr>
          <w:rtl/>
        </w:rPr>
        <w:t xml:space="preserve">في غشت 2026 انخفض الرقم الاستدلالي للأثمان عند الاستهلاك</w:t>
      </w:r>
      <w:r>
        <w:rPr>
          <w:rtl/>
        </w:rPr>
        <w:t xml:space="preserve"> </w:t>
      </w:r>
      <w:r>
        <w:rPr>
          <w:rtl/>
        </w:rPr>
        <w:t xml:space="preserve">2.1’% مقارنة بشهر غشت 2025</w:t>
      </w:r>
    </w:p>
    <w:p>
      <w:pPr>
        <w:pStyle w:val="ipctitre0"/>
        <w:bidi/>
      </w:pPr>
      <w:r>
        <w:rPr>
          <w:rtl/>
        </w:rPr>
        <w:t xml:space="preserve">6- تطور معدل التغير السنوي (%) للرقم الاستدلالي للأثمان عند الاستهلاك لشهر غشت</w:t>
      </w:r>
    </w:p>
    <w:p>
      <w:pPr>
        <w:bidi/>
      </w:pPr>
      <w:r>
        <w:drawing>
          <wp:inline>
            <wp:extent cx="3347999" cy="252359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../Rapports_mensuels/Mois2026_08/Graphique_variation_mensuelle2026_08_Ville17_a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52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  <w:bidi/>
      </w:pPr>
      <w:r>
        <w:rPr>
          <w:u w:val="single"/>
          <w:rtl/>
        </w:rPr>
        <w:t xml:space="preserve">قراءة:</w:t>
      </w:r>
      <w:r>
        <w:rPr>
          <w:rtl/>
        </w:rPr>
        <w:t xml:space="preserve"> </w:t>
      </w:r>
      <w:r>
        <w:rPr>
          <w:rtl/>
        </w:rPr>
        <w:t xml:space="preserve">في غشت 2026 ارتفع الرقم الاستدلالي للأثمان عند الاستهلاك</w:t>
      </w:r>
      <w:r>
        <w:rPr>
          <w:rtl/>
        </w:rPr>
        <w:t xml:space="preserve"> </w:t>
      </w:r>
      <w:r>
        <w:rPr>
          <w:rtl/>
        </w:rPr>
        <w:t xml:space="preserve">ب 1.6 % مقارنة بشهر يوليوز 2026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2" w:space="200"/>
          <w:bidi/>
        </w:sectPr>
      </w:pPr>
    </w:p>
    <w:p>
      <w:pPr>
        <w:pStyle w:val="ipcpara0"/>
        <w:bidi/>
      </w:pPr>
      <w:r>
        <w:rPr>
          <w:rtl/>
        </w:rPr>
        <w:t xml:space="preserve">جدول 4: الرقم الاستدلالي للأثمان عند الاستهلاك مدينة الحسيمة غشت :2026 (أساس 2017:100)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50"/>
        <w:gridCol w:w="3402"/>
      </w:tblGrid>
      <w:tr>
        <w:trPr>
          <w:trHeight w:val="507" w:hRule="auto"/>
          <w:tblHeader/>
        </w:trPr>
        header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التغير (%) منذ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لشهر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الترجيحات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أقسام المواد</w:t>
            </w:r>
          </w:p>
        </w:tc>
      </w:tr>
      <w:tr>
        <w:trPr>
          <w:trHeight w:val="50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شهرا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3أشهر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شهر واحد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غشت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يوليوز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يونيو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ماي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غشت 2025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-6,0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138,3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135,4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137,1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147,2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49,716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الغذائية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-6,4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137,7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139,7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147,1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48,371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01- المواد الغذائية والمشروبات غير الكحولية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1,345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02- المشروبات الكحولية والتبغ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50,284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غير الغذائية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5,155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الملابس والأحذية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11,732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السكن والماء والكهرباء والغاز ومحروقات أخرى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الأثاث والأدوات المنزلية والصيانة العادية للمنزل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06 - الصحة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07 - النقل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08 - المواصلات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الترفيه والثقافة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10 - التعليم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مطاعم وفنادق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5,261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مواد وخدمات أخرى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124,4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العام</w:t>
            </w:r>
          </w:p>
        </w:tc>
      </w:tr>
    </w:tbl>
    <w:p>
      <w:pPr>
        <w:pStyle w:val="ipclegendetableau"/>
        <w:bidi/>
      </w:pPr>
      <w:r>
        <w:rPr>
          <w:u w:val="single"/>
          <w:rtl/>
        </w:rPr>
        <w:t xml:space="preserve">المصدر:</w:t>
      </w:r>
      <w:r>
        <w:rPr>
          <w:rtl/>
        </w:rPr>
        <w:t xml:space="preserve"> </w:t>
      </w:r>
      <w:r>
        <w:rPr>
          <w:rtl/>
        </w:rPr>
        <w:t xml:space="preserve">المندوبية السامية للتخطيط، مديرية الإحصاء -البحث الوطني حول الأثمان عند الاستهلاك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sectPr>
      <w:type w:val="nextPage"/>
      <w:pgSz w:h="16838" w:w="11906"/>
      <w:pgMar w:bottom="284" w:footer="0" w:gutter="0" w:header="0" w:left="283" w:right="283" w:top="284"/>
      <w:pgNumType w:fmt="decimal"/>
      <w:formProt w:val="false"/>
      <w:textDirection w:val="lrTb"/>
      <w:bidi/>
      <w:docGrid w:charSpace="0" w:linePitch="36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</w:compat>
  <w:rsids>
  </w:rsids>
  <w:themeFontLang w:bidi="ar-SA" w:eastAsia="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lang w:bidi="ar" w:eastAsia="fr-FR" w:val="fr-FR"/>
      </w:rPr>
    </w:rPrDefault>
    <w:pPrDefault>
      <w:pPr>
        <w:suppressAutoHyphens w:val="true"/>
      </w:pPr>
    </w:pPrDefault>
  </w:docDefaults>
  <w:latentStyles w:count="267" w:defLockedState="0" w:defQFormat="0" w:defSemiHidden="0" w:defUIPriority="0" w:defUnhideWhenUsed="0"/>
  <w:style w:default="1" w:styleId="Normal" w:type="paragraph">
    <w:name w:val="Normal"/>
    <w:qFormat/>
    <w:rsid w:val="001435a5"/>
    <w:pPr>
      <w:widowControl/>
      <w:bidi w:val="1"/>
      <w:spacing w:after="120" w:before="0"/>
      <w:jc w:val="left"/>
    </w:pPr>
    <w:rPr>
      <w:rFonts w:ascii="Arial" w:cs="Arial" w:eastAsia="Arial" w:hAnsi="Arial"/>
      <w:color w:val="auto"/>
      <w:kern w:val="0"/>
      <w:sz w:val="20"/>
      <w:szCs w:val="20"/>
      <w:lang w:bidi="ar" w:eastAsia="fr-FR" w:val="fr-FR"/>
    </w:rPr>
  </w:style>
  <w:style w:customStyle="1" w:styleId="Heading1" w:type="paragraph">
    <w:name w:val="heading 1"/>
    <w:basedOn w:val="Normal"/>
    <w:next w:val="BodyText"/>
    <w:uiPriority w:val="9"/>
    <w:qFormat/>
    <w:rsid w:val="001435a5"/>
    <w:pPr>
      <w:keepNext w:val="true"/>
      <w:keepLines/>
      <w:spacing w:after="0" w:before="480"/>
      <w:outlineLvl w:val="0"/>
    </w:pPr>
    <w:rPr>
      <w:b/>
      <w:bCs/>
      <w:color w:themeColor="accent1" w:val="4F81BD"/>
      <w:sz w:val="32"/>
      <w:szCs w:val="32"/>
    </w:rPr>
  </w:style>
  <w:style w:customStyle="1" w:styleId="Heading2" w:type="paragraph">
    <w:name w:val="heading 2"/>
    <w:basedOn w:val="Normal"/>
    <w:next w:val="BodyText"/>
    <w:uiPriority w:val="9"/>
    <w:unhideWhenUsed/>
    <w:qFormat/>
    <w:rsid w:val="001435a5"/>
    <w:pPr>
      <w:keepNext w:val="true"/>
      <w:keepLines/>
      <w:spacing w:after="0" w:before="200"/>
      <w:outlineLvl w:val="1"/>
    </w:pPr>
    <w:rPr>
      <w:b/>
      <w:bCs/>
      <w:color w:themeColor="accent1" w:val="4F81BD"/>
      <w:sz w:val="28"/>
      <w:szCs w:val="28"/>
    </w:rPr>
  </w:style>
  <w:style w:customStyle="1" w:styleId="Heading3" w:type="paragraph">
    <w:name w:val="heading 3"/>
    <w:basedOn w:val="Normal"/>
    <w:next w:val="BodyText"/>
    <w:uiPriority w:val="9"/>
    <w:unhideWhenUsed/>
    <w:qFormat/>
    <w:rsid w:val="001435a5"/>
    <w:pPr>
      <w:keepNext w:val="true"/>
      <w:keepLines/>
      <w:spacing w:after="0" w:before="200"/>
      <w:outlineLvl w:val="2"/>
    </w:pPr>
    <w:rPr>
      <w:b/>
      <w:bCs/>
      <w:color w:themeColor="accent1" w:val="4F81BD"/>
      <w:sz w:val="24"/>
      <w:szCs w:val="24"/>
    </w:rPr>
  </w:style>
  <w:style w:customStyle="1" w:styleId="Heading4" w:type="paragraph">
    <w:name w:val="heading 4"/>
    <w:basedOn w:val="Normal"/>
    <w:next w:val="BodyText"/>
    <w:uiPriority w:val="9"/>
    <w:unhideWhenUsed/>
    <w:qFormat/>
    <w:rsid w:val="001435a5"/>
    <w:pPr>
      <w:keepNext w:val="true"/>
      <w:keepLines/>
      <w:spacing w:after="0" w:before="200"/>
      <w:outlineLvl w:val="3"/>
    </w:pPr>
    <w:rPr>
      <w:bCs/>
      <w:i/>
      <w:color w:themeColor="accent1" w:val="4F81BD"/>
      <w:sz w:val="24"/>
      <w:szCs w:val="24"/>
    </w:rPr>
  </w:style>
  <w:style w:customStyle="1" w:styleId="Heading5" w:type="paragraph">
    <w:name w:val="heading 5"/>
    <w:basedOn w:val="Normal"/>
    <w:next w:val="BodyText"/>
    <w:uiPriority w:val="9"/>
    <w:unhideWhenUsed/>
    <w:qFormat/>
    <w:rsid w:val="001435a5"/>
    <w:pPr>
      <w:keepNext w:val="true"/>
      <w:keepLines/>
      <w:spacing w:after="0" w:before="200"/>
      <w:outlineLvl w:val="4"/>
    </w:pPr>
    <w:rPr>
      <w:iCs/>
      <w:color w:themeColor="accent1" w:val="4F81BD"/>
      <w:sz w:val="24"/>
      <w:szCs w:val="24"/>
    </w:rPr>
  </w:style>
  <w:style w:customStyle="1" w:styleId="Heading6" w:type="paragraph">
    <w:name w:val="heading 6"/>
    <w:basedOn w:val="Normal"/>
    <w:next w:val="BodyText"/>
    <w:uiPriority w:val="9"/>
    <w:unhideWhenUsed/>
    <w:qFormat/>
    <w:rsid w:val="001435a5"/>
    <w:pPr>
      <w:keepNext w:val="true"/>
      <w:keepLines/>
      <w:spacing w:after="0" w:before="200"/>
      <w:outlineLvl w:val="5"/>
    </w:pPr>
    <w:rPr>
      <w:color w:themeColor="accent1" w:val="4F81BD"/>
      <w:sz w:val="24"/>
      <w:szCs w:val="24"/>
    </w:rPr>
  </w:style>
  <w:style w:customStyle="1" w:styleId="Heading7" w:type="paragraph">
    <w:name w:val="heading 7"/>
    <w:basedOn w:val="Normal"/>
    <w:next w:val="BodyText"/>
    <w:uiPriority w:val="9"/>
    <w:unhideWhenUsed/>
    <w:qFormat/>
    <w:rsid w:val="001435a5"/>
    <w:pPr>
      <w:keepNext w:val="true"/>
      <w:keepLines/>
      <w:spacing w:after="0" w:before="200"/>
      <w:outlineLvl w:val="6"/>
    </w:pPr>
    <w:rPr>
      <w:color w:themeColor="accent1" w:val="4F81BD"/>
      <w:sz w:val="24"/>
      <w:szCs w:val="24"/>
    </w:rPr>
  </w:style>
  <w:style w:customStyle="1" w:styleId="Heading8" w:type="paragraph">
    <w:name w:val="heading 8"/>
    <w:basedOn w:val="Normal"/>
    <w:next w:val="BodyText"/>
    <w:uiPriority w:val="9"/>
    <w:unhideWhenUsed/>
    <w:qFormat/>
    <w:rsid w:val="001435a5"/>
    <w:pPr>
      <w:keepNext w:val="true"/>
      <w:keepLines/>
      <w:spacing w:after="0" w:before="200"/>
      <w:outlineLvl w:val="7"/>
    </w:pPr>
    <w:rPr>
      <w:color w:themeColor="accent1" w:val="4F81BD"/>
      <w:sz w:val="24"/>
      <w:szCs w:val="24"/>
    </w:rPr>
  </w:style>
  <w:style w:customStyle="1" w:styleId="Heading9" w:type="paragraph">
    <w:name w:val="heading 9"/>
    <w:basedOn w:val="Normal"/>
    <w:next w:val="BodyText"/>
    <w:uiPriority w:val="9"/>
    <w:unhideWhenUsed/>
    <w:qFormat/>
    <w:rsid w:val="001435a5"/>
    <w:pPr>
      <w:keepNext w:val="true"/>
      <w:keepLines/>
      <w:spacing w:after="0" w:before="200"/>
      <w:outlineLvl w:val="8"/>
    </w:pPr>
    <w:rPr>
      <w:color w:themeColor="accent1" w:val="4F81BD"/>
      <w:sz w:val="24"/>
      <w:szCs w:val="24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orpsdetexteCar" w:type="character">
    <w:name w:val="Corps de texte Car"/>
    <w:basedOn w:val="DefaultParagraphFont"/>
    <w:qFormat/>
    <w:rsid w:val="001435a5"/>
    <w:rPr/>
  </w:style>
  <w:style w:customStyle="1" w:styleId="VerbatimChar" w:type="character">
    <w:name w:val="Verbatim Char"/>
    <w:basedOn w:val="CorpsdetexteCar"/>
    <w:qFormat/>
    <w:rsid w:val="001435a5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CorpsdetexteCar"/>
    <w:qFormat/>
    <w:rsid w:val="001435a5"/>
    <w:rPr/>
  </w:style>
  <w:style w:customStyle="1" w:styleId="Caractresdenotedebasdepage" w:type="character">
    <w:name w:val="Caractères de note de bas de page"/>
    <w:basedOn w:val="CorpsdetexteCar"/>
    <w:qFormat/>
    <w:rsid w:val="001435a5"/>
    <w:rPr>
      <w:vertAlign w:val="superscript"/>
    </w:rPr>
  </w:style>
  <w:style w:styleId="FootnoteReference" w:type="character">
    <w:name w:val="footnote reference"/>
    <w:rPr>
      <w:vertAlign w:val="superscript"/>
    </w:rPr>
  </w:style>
  <w:style w:styleId="Hyperlink" w:type="character">
    <w:name w:val="Hyperlink"/>
    <w:basedOn w:val="CorpsdetexteCar"/>
    <w:rsid w:val="001435a5"/>
    <w:rPr>
      <w:color w:themeColor="accent1" w:val="4F81BD"/>
    </w:rPr>
  </w:style>
  <w:style w:styleId="Titre" w:type="paragraph">
    <w:name w:val="Titre"/>
    <w:basedOn w:val="Normal"/>
    <w:next w:val="BodyText"/>
    <w:qFormat/>
    <w:pPr>
      <w:keepNext w:val="true"/>
      <w:spacing w:after="120" w:before="240"/>
    </w:pPr>
    <w:rPr>
      <w:rFonts w:ascii="Liberation Sans" w:cs="Tahoma" w:eastAsia="Microsoft YaHei" w:hAnsi="Liberation Sans"/>
      <w:sz w:val="28"/>
      <w:szCs w:val="28"/>
    </w:rPr>
  </w:style>
  <w:style w:styleId="BodyText" w:type="paragraph">
    <w:name w:val="Body Text"/>
    <w:basedOn w:val="Normal"/>
    <w:link w:val="CorpsdetexteCar"/>
    <w:qFormat/>
    <w:rsid w:val="001435a5"/>
    <w:pPr>
      <w:spacing w:after="180" w:before="180"/>
    </w:pPr>
    <w:rPr/>
  </w:style>
  <w:style w:styleId="List" w:type="paragraph">
    <w:name w:val="List"/>
    <w:basedOn w:val="BodyText"/>
    <w:pPr/>
    <w:rPr>
      <w:rFonts w:cs="Tahoma"/>
    </w:rPr>
  </w:style>
  <w:style w:customStyle="1" w:styleId="Caption" w:type="paragraph">
    <w:name w:val="caption"/>
    <w:basedOn w:val="Normal"/>
    <w:link w:val="CorpsdetexteCar"/>
    <w:qFormat/>
    <w:rsid w:val="001435a5"/>
    <w:pPr/>
    <w:rPr>
      <w:i/>
    </w:rPr>
  </w:style>
  <w:style w:styleId="Index" w:type="paragraph">
    <w:name w:val="Index"/>
    <w:basedOn w:val="Normal"/>
    <w:qFormat/>
    <w:pPr>
      <w:suppressLineNumbers/>
    </w:pPr>
    <w:rPr>
      <w:rFonts w:cs="Tahoma"/>
    </w:rPr>
  </w:style>
  <w:style w:customStyle="1" w:styleId="FirstParagraph" w:type="paragraph">
    <w:name w:val="First Paragraph"/>
    <w:basedOn w:val="BodyText"/>
    <w:next w:val="BodyText"/>
    <w:qFormat/>
    <w:rsid w:val="001435a5"/>
    <w:pPr/>
    <w:rPr/>
  </w:style>
  <w:style w:customStyle="1" w:styleId="Compact" w:type="paragraph">
    <w:name w:val="Compact"/>
    <w:basedOn w:val="BodyText"/>
    <w:qFormat/>
    <w:rsid w:val="001435a5"/>
    <w:pPr>
      <w:spacing w:after="36" w:before="36"/>
    </w:pPr>
    <w:rPr/>
  </w:style>
  <w:style w:styleId="Title" w:type="paragraph">
    <w:name w:val="Title"/>
    <w:basedOn w:val="Normal"/>
    <w:next w:val="BodyText"/>
    <w:qFormat/>
    <w:rsid w:val="001435a5"/>
    <w:pPr>
      <w:keepNext w:val="true"/>
      <w:keepLines/>
      <w:spacing w:after="240" w:before="480"/>
      <w:jc w:val="center"/>
    </w:pPr>
    <w:rPr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rsid w:val="001435a5"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1435a5"/>
    <w:pPr>
      <w:keepNext w:val="true"/>
      <w:keepLines/>
      <w:widowControl/>
      <w:bidi w:val="1"/>
      <w:spacing w:after="120" w:before="0"/>
      <w:jc w:val="center"/>
    </w:pPr>
    <w:rPr>
      <w:rFonts w:ascii="Arial" w:cs="Arial" w:eastAsia="Arial" w:hAnsi="Arial"/>
      <w:color w:val="auto"/>
      <w:kern w:val="0"/>
      <w:sz w:val="20"/>
      <w:szCs w:val="20"/>
      <w:lang w:bidi="ar" w:eastAsia="fr-FR" w:val="fr-FR"/>
    </w:rPr>
  </w:style>
  <w:style w:styleId="Date" w:type="paragraph">
    <w:name w:val="Date"/>
    <w:next w:val="BodyText"/>
    <w:qFormat/>
    <w:rsid w:val="001435a5"/>
    <w:pPr>
      <w:keepNext w:val="true"/>
      <w:keepLines/>
      <w:widowControl/>
      <w:bidi w:val="1"/>
      <w:spacing w:after="120" w:before="0"/>
      <w:jc w:val="center"/>
    </w:pPr>
    <w:rPr>
      <w:rFonts w:ascii="Arial" w:cs="Arial" w:eastAsia="Arial" w:hAnsi="Arial"/>
      <w:color w:val="auto"/>
      <w:kern w:val="0"/>
      <w:sz w:val="20"/>
      <w:szCs w:val="20"/>
      <w:lang w:bidi="ar" w:eastAsia="fr-FR" w:val="fr-FR"/>
    </w:rPr>
  </w:style>
  <w:style w:customStyle="1" w:styleId="AbstractTitle" w:type="paragraph">
    <w:name w:val="Abstract Title"/>
    <w:basedOn w:val="Normal"/>
    <w:next w:val="Abstract"/>
    <w:qFormat/>
    <w:rsid w:val="001435a5"/>
    <w:pPr>
      <w:keepNext w:val="true"/>
      <w:keepLines/>
      <w:spacing w:after="0" w:before="300"/>
      <w:jc w:val="center"/>
    </w:pPr>
    <w:rPr>
      <w:b/>
      <w:color w:val="345A8A"/>
    </w:rPr>
  </w:style>
  <w:style w:customStyle="1" w:styleId="Abstract" w:type="paragraph">
    <w:name w:val="Abstract"/>
    <w:basedOn w:val="Normal"/>
    <w:next w:val="BodyText"/>
    <w:qFormat/>
    <w:rsid w:val="001435a5"/>
    <w:pPr>
      <w:keepNext w:val="true"/>
      <w:keepLines/>
      <w:spacing w:after="300" w:before="100"/>
    </w:pPr>
    <w:rPr/>
  </w:style>
  <w:style w:styleId="Bibliography" w:type="paragraph">
    <w:name w:val="Bibliography"/>
    <w:basedOn w:val="Normal"/>
    <w:qFormat/>
    <w:rsid w:val="001435a5"/>
    <w:pPr/>
    <w:rPr/>
  </w:style>
  <w:style w:styleId="BlockText" w:type="paragraph">
    <w:name w:val="Block Text"/>
    <w:basedOn w:val="BodyText"/>
    <w:next w:val="BodyText"/>
    <w:uiPriority w:val="9"/>
    <w:unhideWhenUsed/>
    <w:qFormat/>
    <w:rsid w:val="001435a5"/>
    <w:pPr>
      <w:spacing w:after="100" w:before="100"/>
      <w:ind w:left="480" w:right="480"/>
    </w:pPr>
    <w:rPr/>
  </w:style>
  <w:style w:customStyle="1" w:styleId="FootnoteText" w:type="paragraph">
    <w:name w:val="footnote text"/>
    <w:basedOn w:val="Normal"/>
    <w:uiPriority w:val="9"/>
    <w:unhideWhenUsed/>
    <w:qFormat/>
    <w:rsid w:val="001435a5"/>
    <w:pPr/>
    <w:rPr/>
  </w:style>
  <w:style w:customStyle="1" w:styleId="DefinitionTerm" w:type="paragraph">
    <w:name w:val="Definition Term"/>
    <w:basedOn w:val="Normal"/>
    <w:next w:val="Definition"/>
    <w:qFormat/>
    <w:rsid w:val="001435a5"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rsid w:val="001435a5"/>
    <w:pPr/>
    <w:rPr/>
  </w:style>
  <w:style w:customStyle="1" w:styleId="TableCaption" w:type="paragraph">
    <w:name w:val="Table Caption"/>
    <w:basedOn w:val="Caption"/>
    <w:qFormat/>
    <w:rsid w:val="001435a5"/>
    <w:pPr>
      <w:keepNext w:val="true"/>
    </w:pPr>
    <w:rPr/>
  </w:style>
  <w:style w:customStyle="1" w:styleId="ImageCaption" w:type="paragraph">
    <w:name w:val="Image Caption"/>
    <w:basedOn w:val="Caption"/>
    <w:qFormat/>
    <w:rsid w:val="001435a5"/>
    <w:pPr/>
    <w:rPr/>
  </w:style>
  <w:style w:customStyle="1" w:styleId="Figure" w:type="paragraph">
    <w:name w:val="Figure"/>
    <w:basedOn w:val="Normal"/>
    <w:qFormat/>
    <w:rsid w:val="001435a5"/>
    <w:pPr/>
    <w:rPr/>
  </w:style>
  <w:style w:customStyle="1" w:styleId="CaptionedFigure" w:type="paragraph">
    <w:name w:val="Captioned Figure"/>
    <w:basedOn w:val="Figure"/>
    <w:qFormat/>
    <w:rsid w:val="001435a5"/>
    <w:pPr>
      <w:keepNext w:val="true"/>
    </w:pPr>
    <w:rPr/>
  </w:style>
  <w:style w:styleId="IndexHeading" w:type="paragraph">
    <w:name w:val="index heading"/>
    <w:basedOn w:val="Titre"/>
    <w:pPr/>
    <w:rPr/>
  </w:style>
  <w:style w:styleId="TOCHeading" w:type="paragraph">
    <w:name w:val="TOC Heading"/>
    <w:basedOn w:val="Heading1"/>
    <w:next w:val="BodyText"/>
    <w:uiPriority w:val="39"/>
    <w:unhideWhenUsed/>
    <w:qFormat/>
    <w:rsid w:val="001435a5"/>
    <w:pPr>
      <w:spacing w:after="0" w:before="240" w:line="259" w:lineRule="auto"/>
      <w:outlineLvl w:val="9"/>
    </w:pPr>
    <w:rPr>
      <w:b w:val="false"/>
      <w:bCs w:val="false"/>
      <w:color w:themeColor="accent1" w:themeShade="bf" w:val="365F91"/>
    </w:rPr>
  </w:style>
  <w:style w:customStyle="1" w:styleId="ipcpara0" w:type="paragraph">
    <w:name w:val="ipc_para_0"/>
    <w:basedOn w:val="Normal"/>
    <w:qFormat/>
    <w:rsid w:val="006c6bd7"/>
    <w:pPr>
      <w:spacing w:after="100" w:before="60" w:line="276" w:lineRule="auto"/>
      <w:jc w:val="both"/>
    </w:pPr>
    <w:rPr>
      <w:rFonts w:ascii="Times New Roman" w:eastAsia="Times New Roman" w:hAnsi="Times New Roman"/>
      <w:b/>
      <w:bCs/>
      <w:color w:val="8D4354"/>
      <w:sz w:val="21"/>
      <w:szCs w:val="21"/>
    </w:rPr>
  </w:style>
  <w:style w:customStyle="1" w:styleId="ipccorps" w:type="paragraph">
    <w:name w:val="ipc_corps"/>
    <w:basedOn w:val="Normal"/>
    <w:qFormat/>
    <w:rsid w:val="006c6bd7"/>
    <w:pPr>
      <w:spacing w:after="100" w:before="0" w:line="276" w:lineRule="auto"/>
      <w:jc w:val="both"/>
    </w:pPr>
    <w:rPr>
      <w:rFonts w:ascii="Times New Roman" w:eastAsia="Times New Roman" w:hAnsi="Times New Roman"/>
      <w:sz w:val="19"/>
      <w:szCs w:val="19"/>
    </w:rPr>
  </w:style>
  <w:style w:customStyle="1" w:styleId="ipctitre0" w:type="paragraph">
    <w:name w:val="ipc_titre_0"/>
    <w:basedOn w:val="Normal"/>
    <w:qFormat/>
    <w:rsid w:val="006c6bd7"/>
    <w:pPr>
      <w:keepNext w:val="true"/>
      <w:keepLines/>
      <w:spacing w:after="60" w:before="120"/>
      <w:jc w:val="center"/>
    </w:pPr>
    <w:rPr>
      <w:rFonts w:ascii="Times New Roman" w:eastAsia="Times New Roman" w:hAnsi="Times New Roman"/>
      <w:b/>
      <w:bCs/>
      <w:color w:val="8D4354"/>
      <w:sz w:val="19"/>
      <w:szCs w:val="19"/>
    </w:rPr>
  </w:style>
  <w:style w:customStyle="1" w:styleId="ipclegende" w:type="paragraph">
    <w:name w:val="ipc_legende"/>
    <w:basedOn w:val="Normal"/>
    <w:qFormat/>
    <w:rsid w:val="006c6bd7"/>
    <w:pPr>
      <w:spacing w:after="120" w:before="40"/>
      <w:jc w:val="center"/>
    </w:pPr>
    <w:rPr>
      <w:rFonts w:ascii="Times New Roman" w:eastAsia="Times New Roman" w:hAnsi="Times New Roman"/>
      <w:sz w:val="15"/>
      <w:szCs w:val="15"/>
    </w:rPr>
  </w:style>
  <w:style w:customStyle="1" w:styleId="ipclegendetableau" w:type="paragraph">
    <w:name w:val="ipc_legende_tableau"/>
    <w:basedOn w:val="Normal"/>
    <w:qFormat/>
    <w:rsid w:val="001435a5"/>
    <w:pPr>
      <w:spacing w:after="60" w:before="40"/>
      <w:jc w:val="center"/>
    </w:pPr>
    <w:rPr>
      <w:rFonts w:eastAsia="Times New Roman"/>
      <w:sz w:val="15"/>
      <w:szCs w:val="15"/>
    </w:rPr>
  </w:style>
  <w:style w:default="1" w:styleId="Pasdeliste" w:type="numbering">
    <w:name w:val="Pas de liste"/>
    <w:uiPriority w:val="99"/>
    <w:semiHidden/>
    <w:unhideWhenUsed/>
    <w:qFormat/>
  </w:style>
  <w:style w:default="1" w:styleId="TableauNormal" w:type="table">
    <w:name w:val="Normal Table"/>
    <w:uiPriority w:val="99"/>
    <w:semiHidden/>
    <w:unhideWhenUsed/>
    <w:qFormat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1435a5"/>
    <w:tblPr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Application>LibreOffice/26.2.6.3$Windows_X86_64 LibreOffice_project/8221e31b3ac356a1623c672912a3d2b492f7e3d1</Application>
  <AppVersion>15.0000</AppVersion>
  <Pages>1</Pages>
  <Words>52</Words>
  <Characters>273</Characters>
  <CharactersWithSpaces>320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2026-10-23T16:24:30Z</dcterms:created>
  <dcterms:modified xsi:type="dcterms:W3CDTF">2026-10-23T16:24:30Z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المندوبية السامية للتخطيط، مديرية الإحصاء</vt:lpwstr>
  </property>
  <property fmtid="{D5CDD505-2E9C-101B-9397-08002B2CF9AE}" pid="3" name="biblio-config">
    <vt:lpwstr>True</vt:lpwstr>
  </property>
  <property fmtid="{D5CDD505-2E9C-101B-9397-08002B2CF9AE}" pid="4" name="dir">
    <vt:lpwstr>rtl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knitr">
    <vt:lpwstr/>
  </property>
  <property fmtid="{D5CDD505-2E9C-101B-9397-08002B2CF9AE}" pid="9" name="labels">
    <vt:lpwstr/>
  </property>
  <property fmtid="{D5CDD505-2E9C-101B-9397-08002B2CF9AE}" pid="10" name="pandoc-args">
    <vt:lpwstr/>
  </property>
  <property fmtid="{D5CDD505-2E9C-101B-9397-08002B2CF9AE}" pid="11" name="params">
    <vt:lpwstr/>
  </property>
  <property fmtid="{D5CDD505-2E9C-101B-9397-08002B2CF9AE}" pid="12" name="subtitle-meta">
    <vt:lpwstr>المديرية الجهوية طنجة - تطوان - الحسيمة</vt:lpwstr>
  </property>
  <property fmtid="{D5CDD505-2E9C-101B-9397-08002B2CF9AE}" pid="13" name="title-meta">
    <vt:lpwstr>الرقم الاستدلالي للأثمان</vt:lpwstr>
  </property>
  <property fmtid="{D5CDD505-2E9C-101B-9397-08002B2CF9AE}" pid="14" name="toc-title">
    <vt:lpwstr>Table of contents</vt:lpwstr>
  </property>
</Properties>
</file>