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</w:t>
      </w:r>
    </w:p>
    <w:p>
      <w:pPr>
        <w:pStyle w:val="ipcpara0"/>
      </w:pPr>
      <w:r>
        <w:t xml:space="preserve">في شهر غشت 2026 ارتفعت أسعار الاستهلاك على المستوى الوطني بنسبة (0.8% ) خلال شهر واحد في حين انخفضت أسعار الاستهلاك بما يقارب (0.3’%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ب2,8%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ب0,3%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ب0,1%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(0.7%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ب0,6% ‏،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ب0,2%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-3.8%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ب22,4%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ب4,4%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ب3,8%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ب3,7%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ب1,3%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ب0,7%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ب0,6%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ب1,6%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ب0,5%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2.5 %،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ب0,1%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ب7,3% ‏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../../Rapports_mensuels/Mois2026_08/Graphique_variation_annuelle2026_08_Ville99_ar.png</w:t>
      </w:r>
    </w:p>
    <w:p>
      <w:pPr>
        <w:pStyle w:val="ipccorps"/>
      </w:pPr>
      <w:r>
        <w:t xml:space="preserve">في غشت 2026 انخفض الرقم الاستدلالي للأثمان عند الاستهلاك</w:t>
      </w:r>
      <w:r>
        <w:t xml:space="preserve"> </w:t>
      </w:r>
      <w:r>
        <w:t xml:space="preserve">0.3’% مقارنة بشهر غشت 2025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../../Rapports_mensuels/Mois2026_08/Graphique_variation_mensuelle2026_08_Ville99_ar.png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0.8 % مقارنة بشهر يوليوز 2026</w:t>
      </w:r>
    </w:p>
    <w:p>
      <w:pPr>
        <w:pStyle w:val="ipcpara0"/>
      </w:pPr>
      <w:r>
        <w:t xml:space="preserve">الرقم الاستدلالي للأثمان عند الاستهلاك لمدينة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131,3068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117,1231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101,3937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103,8515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117,0600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119,9986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2026-09-22T14:36:45Z</dcterms:created>
  <dcterms:modified xsi:type="dcterms:W3CDTF">2026-09-22T14:36:45Z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