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«Viande» de 2,2%, des «Légumes» de 1,0%, du «Café, thé et cacao» de 0,3%, des «Produits alimentaires n.c.a.»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n.c.a.» de 1,3%, des «Viande» de 0,7% et des «Pain et céréales» et des «Services de restauration» de 0,6%. Par ailleurs, l’augmentation des prix des «Tabac» de 4,0%, des «Poisson et fruits de mer» de 3,0%, du «Café, thé et cacao» de 1,6%, des «Sucre, confiture, miel, chocolat et confiserie» de 0,8% et des «Eaux minerales, boissons rafraichissantes, jus de fruits et de légumes (nd)» de 0,5%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2.5%. Alors que la variation des prix des divisions qui constituent les produits non alimentaires a fluctué entre une diminution de la division de 0,1%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117,1231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101,3937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117,0600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119,9986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2026-09-22T14:36:39Z</dcterms:created>
  <dcterms:modified xsi:type="dcterms:W3CDTF">2026-09-22T14:36:39Z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