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企业资料知识库功能说明</w:t>
      </w:r>
    </w:p>
    <w:p>
      <w:pPr>
        <w:pStyle w:val="Subtitle"/>
      </w:pPr>
      <w:r>
        <w:t>客户沟通版  ·  群晖 NAS 部署方案  ·  2026年9月20日</w:t>
      </w:r>
    </w:p>
    <w:p>
      <w:r>
        <w:t>本方案拟在企业现有群晖 NAS 上建设统一资料平台，集中管理文档、PDF、图片、音频和视频，支持在线查看、办公文档编辑、人员与部门权限，以及资料分享。员工可从企业微信进入，并根据员工身份访问获授权资料。</w:t>
      </w:r>
    </w:p>
    <w:p>
      <w:r>
        <w:t>资料库以文件夹和文件组织制度、培训、项目和部门资料，包含外网访问。独立 AI 知识库问答系统暂不建设，不纳入本次交付与报价。最终交付以确认的功能清单和验收标准为准。</w:t>
      </w:r>
    </w:p>
    <w:p>
      <w:pPr>
        <w:pStyle w:val="Heading1"/>
      </w:pPr>
      <w:r>
        <w:t>一 资料管理与在线使用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FF5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功能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FF5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拟提供的能力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资料上传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支持 Word、Excel、PPT、PDF、图片、音频、视频等文件上传与下载。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分类与目录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按部门、项目、资料类型建立文件夹和子文件夹，进行重命名、移动、删除等管理。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在线查看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查看 PDF、常见图片；通过配套办公组件查看 Word、Excel、PPT。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音视频播放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支持浏览器兼容格式的在线播放；不能直接播放的文件可下载或另行转换格式。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文档在线编辑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配置办公文档编辑服务，支持常见 Word、Excel、PPT 编辑与保存；复杂格式用实际样本验证。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资料查找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按文件名搜索，结合目录分类人工查找资料；附件正文全文搜索另行确认。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历史记录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1" w:lineRule="auto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配置文件版本与回收站，便于查找历史内容及恢复误删文件，保留策略在实施时确定。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r>
              <w:t>文件权限</w:t>
            </w:r>
          </w:p>
        </w:tc>
        <w:tc>
          <w:tcPr>
            <w:tcW w:type="dxa" w:w="77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r>
              <w:t>文件和文件夹可设置访问权限，按部门划分查看、编辑等权限。</w:t>
            </w:r>
          </w:p>
        </w:tc>
      </w:tr>
    </w:tbl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2"/>
      </w:pPr>
      <w:r>
        <w:t>内部资料分享</w:t>
      </w:r>
    </w:p>
    <w:p>
      <w:r>
        <w:t>可以向指定员工或部门分享文件和文件夹。接收者登录后按权限访问；分享链接被转发给未授权人员时，仍需通过身份与权限校验。</w:t>
      </w:r>
    </w:p>
    <w:p>
      <w:pPr>
        <w:pStyle w:val="Heading2"/>
      </w:pPr>
      <w:r>
        <w:t>外部链接分享</w:t>
      </w:r>
    </w:p>
    <w:p>
      <w:r>
        <w:t>在管理员允许的情况下，可以生成分享链接，设置密码、有效期及允许的操作，并撤销分享。外部链接通常凭链接和密码访问，不等同于仅限指定员工访问；敏感资料优先使用内部分享。</w:t>
      </w:r>
    </w:p>
    <w:p>
      <w:pPr>
        <w:pStyle w:val="Heading2"/>
      </w:pPr>
      <w:r>
        <w:t>企业微信登录与部门同步</w:t>
      </w:r>
    </w:p>
    <w:p>
      <w:r>
        <w:t>员工从企业微信工作台进入资料库，通过企业微信身份登录，无须另记平台密码；电脑浏览器支持企业微信扫码登录。平台识别员工账号，并读取授权范围内的部门信息，分配对应资料访问权限。客户需配合创建自建应用、配置可见范围及域名，具体客户端体验通过联调验收。</w:t>
      </w:r>
    </w:p>
    <w:p>
      <w:r>
        <w:t>部门同步包含入职、调岗和离职后的权限更新。调岗移除旧部门权限，离职停用访问并处理已有登录状态；更新周期与生效时限在实施前约定。部门变更不自动取消经批准保留的项目授权。</w:t>
      </w:r>
    </w:p>
    <w:p>
      <w:pPr>
        <w:pStyle w:val="Heading2"/>
      </w:pPr>
      <w:r>
        <w:t>外网访问</w:t>
      </w:r>
    </w:p>
    <w:p>
      <w:r>
        <w:t>已确认需要外网访问，部署内网穿透或中转及 HTTPS 入口，支持员工在家、使用手机流量及企业微信外网环境下访问。域名、中转方式和长期服务费用在实施时落实。</w:t>
      </w:r>
    </w:p>
    <w:p>
      <w:pPr>
        <w:pStyle w:val="Heading1"/>
        <w:pageBreakBefore/>
      </w:pPr>
      <w:r>
        <w:t>二 建议验收场景</w:t>
      </w:r>
    </w:p>
    <w:p>
      <w:r>
        <w:t>验证资料库上传、预览、编辑、搜索和部门权限，以及企微登录、调岗离职撤权、外网访问和备份恢复。</w:t>
      </w:r>
    </w:p>
    <w:p>
      <w:pPr>
        <w:pStyle w:val="Heading1"/>
        <w:pageBreakBefore w:val="0"/>
        <w:spacing w:before="160" w:after="100"/>
      </w:pPr>
      <w:r>
        <w:t>三 项目费用与配置范围</w:t>
      </w:r>
    </w:p>
    <w:p>
      <w:r>
        <w:t>预计交付周期约 4 天，自部署环境、企业微信应用配置及所需服务账号齐备后开始计算。</w:t>
      </w:r>
    </w:p>
    <w:p>
      <w:pPr>
        <w:spacing w:after="0" w:line="276" w:lineRule="auto"/>
      </w:pPr>
      <w:r>
        <w:t>环境与部署及内网穿透配置：88 元</w:t>
        <w:br/>
        <w:t>开发与微调：220 元</w:t>
        <w:br/>
        <w:t xml:space="preserve">  资料库开发与微调：220 元（非源码交付）</w:t>
        <w:br/>
        <w:t>企业微信基础配置：68 元</w:t>
        <w:br/>
        <w:t>合计：376 元</w:t>
      </w:r>
    </w:p>
    <w:p>
      <w:r>
        <w:t>环境与部署及内网穿透配置包含 NAS 环境部署、HTTPS 安全访问入口、内网穿透或中转配置及基础外网访问测试。</w:t>
      </w:r>
    </w:p>
    <w:p>
      <w:r>
        <w:t>开发与微调包含资料库适配、基础配置与联调。企业微信基础配置 68 元包含自建应用、工作台入口、可见范围配置和入口测试；身份登录、员工映射、部门自动同步及撤权联调费用仍待验证后另行确认，未计入上述合计。交付方式：资料库为非源码交付，交付部署后的可用系统及相关配置，不包含自有定制代码的源码交付；涉及开源组件及其修改部分，按对应许可证履行相关义务。</w:t>
      </w:r>
    </w:p>
    <w:p>
      <w:r>
        <w:t>域名、中转服务、云服务器及其他第三方长期订阅费用不含在上述报价内，由客户按实际费用购买或另行结算。具体实施范围以双方确认的功能清单为准。NAS 磁盘容量、空间清理及硬件扩容由客户负责，不包含在本次软件搭建费用内。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eiti SC"/>
        <w:b w:val="0"/>
        <w:color w:val="666666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88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88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企业资料知识库功能说明</dc:title>
  <dc:subject/>
  <dc:creator>Nuclx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