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sz w:val="24"/>
          <w:szCs w:val="24"/>
        </w:rPr>
        <w:t xml:space="preserve">To the Editors, International Economics</w:t>
      </w:r>
    </w:p>
    <w:p>
      <w:pPr>
        <w:spacing w:after="200"/>
      </w:pPr>
      <w:r>
        <w:rPr>
          <w:rFonts w:ascii="Times New Roman" w:cs="Times New Roman" w:eastAsia="Times New Roman" w:hAnsi="Times New Roman"/>
          <w:sz w:val="24"/>
          <w:szCs w:val="24"/>
        </w:rPr>
        <w:t xml:space="preserve">Dear Editors,</w:t>
      </w:r>
    </w:p>
    <w:p>
      <w:pPr>
        <w:spacing w:after="200"/>
      </w:pPr>
      <w:r>
        <w:rPr>
          <w:rFonts w:ascii="Times New Roman" w:cs="Times New Roman" w:eastAsia="Times New Roman" w:hAnsi="Times New Roman"/>
          <w:sz w:val="24"/>
          <w:szCs w:val="24"/>
        </w:rPr>
        <w:t xml:space="preserve">I am pleased to submit my manuscript, “Corridor, Not Factory: Trade Reorientation and the Missing Investment Response in Kazakhstan, 2022–2025,” for consideration as a research article in International Economics.</w:t>
      </w:r>
    </w:p>
    <w:p>
      <w:pPr>
        <w:spacing w:after="200"/>
      </w:pPr>
      <w:r>
        <w:rPr>
          <w:rFonts w:ascii="Times New Roman" w:cs="Times New Roman" w:eastAsia="Times New Roman" w:hAnsi="Times New Roman"/>
          <w:sz w:val="24"/>
          <w:szCs w:val="24"/>
        </w:rPr>
        <w:t xml:space="preserve">The paper studies a large, sector-specific trade reorientation through Kazakhstan following the disruption of Russia’s direct trade with its main partners after February 2022. Using product-level (HS6) trade data, it measures the shock, calculates how much domestic value added Kazakhstan retains from the reoriented flow, and tests whether the shock induced domestic investment using deal-level data from three commercial databases. It finds no detectable investment response and interprets the null through a three-gate framework — market access, irreversibility, and capital-market institutions — arguing that Kazakhstan’s customs-union membership with Russia makes trade a close substitute for domestic production, so the corridor absorbs the shock without industrializing.</w:t>
      </w:r>
    </w:p>
    <w:p>
      <w:pPr>
        <w:spacing w:after="200"/>
      </w:pPr>
      <w:r>
        <w:rPr>
          <w:rFonts w:ascii="Times New Roman" w:cs="Times New Roman" w:eastAsia="Times New Roman" w:hAnsi="Times New Roman"/>
          <w:sz w:val="24"/>
          <w:szCs w:val="24"/>
        </w:rPr>
        <w:t xml:space="preserve">I believe the paper is a good fit for International Economics, which welcomes empirical contributions on international trade and commercial policy. It combines product-level trade evidence on third-country reallocation with an input–output calibration of value capture and an investment-response test, and it speaks to work on sanctions, trade diversion and customs unions.</w:t>
      </w:r>
    </w:p>
    <w:p>
      <w:pPr>
        <w:spacing w:after="200"/>
      </w:pPr>
      <w:r>
        <w:rPr>
          <w:rFonts w:ascii="Times New Roman" w:cs="Times New Roman" w:eastAsia="Times New Roman" w:hAnsi="Times New Roman"/>
          <w:sz w:val="24"/>
          <w:szCs w:val="24"/>
        </w:rPr>
        <w:t xml:space="preserve">Data availability. All trade, macroeconomic, and input–output data used are public and either shipped in derived form or regenerable from the accompanying code. The deal-level data underlying the investment-response analysis (Section 7, Table 3) are licensed from Capital IQ (S&amp;P), PitchBook, and Preqin under academic terms that prohibit redistribution of deal-level records, so they cannot be made available. The replication materials provide the complete query specification for all three databases, the reconciliation and classification code, and, where the vendors’ terms permit, the source deal identifiers, so that a researcher with the same subscriptions can reconstruct the extract. Only aggregate, non-deal-level counts (Table 3) are shared. Public data and code will be made available in a repository.</w:t>
      </w:r>
    </w:p>
    <w:p>
      <w:pPr>
        <w:spacing w:after="200"/>
      </w:pPr>
      <w:r>
        <w:rPr>
          <w:rFonts w:ascii="Times New Roman" w:cs="Times New Roman" w:eastAsia="Times New Roman" w:hAnsi="Times New Roman"/>
          <w:sz w:val="24"/>
          <w:szCs w:val="24"/>
        </w:rPr>
        <w:t xml:space="preserve">Prior submission. This manuscript is not under consideration at any other journal. It was previously submitted to the Journal of International Economics, where it was desk-rejected by the editor without external review.</w:t>
      </w:r>
    </w:p>
    <w:p>
      <w:pPr>
        <w:spacing w:after="200"/>
      </w:pPr>
      <w:r>
        <w:rPr>
          <w:rFonts w:ascii="Times New Roman" w:cs="Times New Roman" w:eastAsia="Times New Roman" w:hAnsi="Times New Roman"/>
          <w:sz w:val="24"/>
          <w:szCs w:val="24"/>
        </w:rPr>
        <w:t xml:space="preserve">Declaration of interest. I am employed by the Astana International Financial Centre (AIFC), which is institutionally adjacent to Kazakhstan’s state investment vehicles discussed in the paper. Full disclosure is in the manuscript’s Declaration of Competing Interest section and in the accompanying declaration form.</w:t>
      </w:r>
    </w:p>
    <w:p>
      <w:pPr>
        <w:spacing w:after="200"/>
      </w:pPr>
      <w:r>
        <w:rPr>
          <w:rFonts w:ascii="Times New Roman" w:cs="Times New Roman" w:eastAsia="Times New Roman" w:hAnsi="Times New Roman"/>
          <w:sz w:val="24"/>
          <w:szCs w:val="24"/>
        </w:rPr>
        <w:t xml:space="preserve">Thank you for your consideration.</w:t>
      </w:r>
    </w:p>
    <w:p>
      <w:pPr>
        <w:spacing w:before="200"/>
      </w:pPr>
      <w:r>
        <w:rPr>
          <w:rFonts w:ascii="Times New Roman" w:cs="Times New Roman" w:eastAsia="Times New Roman" w:hAnsi="Times New Roman"/>
          <w:sz w:val="24"/>
          <w:szCs w:val="24"/>
        </w:rPr>
        <w:t xml:space="preserve">Sincerely,</w:t>
      </w:r>
    </w:p>
    <w:p>
      <w:r>
        <w:rPr>
          <w:rFonts w:ascii="Times New Roman" w:cs="Times New Roman" w:eastAsia="Times New Roman" w:hAnsi="Times New Roman"/>
          <w:sz w:val="24"/>
          <w:szCs w:val="24"/>
        </w:rPr>
        <w:t xml:space="preserve">Zhanbolat Kakishev</w:t>
      </w:r>
    </w:p>
    <w:p>
      <w:r>
        <w:rPr>
          <w:rFonts w:ascii="Times New Roman" w:cs="Times New Roman" w:eastAsia="Times New Roman" w:hAnsi="Times New Roman"/>
          <w:sz w:val="24"/>
          <w:szCs w:val="24"/>
        </w:rPr>
        <w:t xml:space="preserve">Nazarbayev University</w:t>
      </w:r>
    </w:p>
    <w:p>
      <w:r>
        <w:rPr>
          <w:rFonts w:ascii="Times New Roman" w:cs="Times New Roman" w:eastAsia="Times New Roman" w:hAnsi="Times New Roman"/>
          <w:sz w:val="24"/>
          <w:szCs w:val="24"/>
        </w:rPr>
        <w:t xml:space="preserve">zhanbolat.kakishev@nu.edu.kz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2026-09-21T08:18:31.199Z</dcterms:created>
  <dcterms:modified xsi:type="dcterms:W3CDTF">2026-09-21T08:18:31.200Z</dcterms:modified>
</cp:coreProperties>
</file>

<file path=docProps/custom.xml><?xml version="1.0" encoding="utf-8"?>
<Properties xmlns="http://schemas.openxmlformats.org/officeDocument/2006/custom-properties" xmlns:vt="http://schemas.openxmlformats.org/officeDocument/2006/docPropsVTypes"/>
</file>