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Declaration of Competing Interest</w:t>
      </w:r>
    </w:p>
    <w:p>
      <w:pPr>
        <w:spacing w:after="200"/>
      </w:pPr>
      <w:r>
        <w:rPr>
          <w:rFonts w:ascii="Times New Roman" w:cs="Times New Roman" w:eastAsia="Times New Roman" w:hAnsi="Times New Roman"/>
          <w:b/>
          <w:bCs/>
          <w:sz w:val="24"/>
          <w:szCs w:val="24"/>
        </w:rPr>
        <w:t xml:space="preserve">Manuscript: </w:t>
      </w:r>
      <w:r>
        <w:rPr>
          <w:rFonts w:ascii="Times New Roman" w:cs="Times New Roman" w:eastAsia="Times New Roman" w:hAnsi="Times New Roman"/>
          <w:sz w:val="24"/>
          <w:szCs w:val="24"/>
        </w:rPr>
        <w:t xml:space="preserve">"Corridor, Not Factory: Trade Reorientation and the Missing Investment Response in Kazakhstan, 2022–2025"</w:t>
      </w:r>
    </w:p>
    <w:p>
      <w:pPr>
        <w:spacing w:after="300"/>
      </w:pPr>
      <w:r>
        <w:rPr>
          <w:rFonts w:ascii="Times New Roman" w:cs="Times New Roman" w:eastAsia="Times New Roman" w:hAnsi="Times New Roman"/>
          <w:b/>
          <w:bCs/>
          <w:sz w:val="24"/>
          <w:szCs w:val="24"/>
        </w:rPr>
        <w:t xml:space="preserve">Author: </w:t>
      </w:r>
      <w:r>
        <w:rPr>
          <w:rFonts w:ascii="Times New Roman" w:cs="Times New Roman" w:eastAsia="Times New Roman" w:hAnsi="Times New Roman"/>
          <w:sz w:val="24"/>
          <w:szCs w:val="24"/>
        </w:rPr>
        <w:t xml:space="preserve">Zhanbolat Kakishev, Nazarbayev University</w:t>
      </w:r>
    </w:p>
    <w:p>
      <w:pPr>
        <w:spacing w:after="200"/>
      </w:pPr>
      <w:r>
        <w:rPr>
          <w:rFonts w:ascii="Times New Roman" w:cs="Times New Roman" w:eastAsia="Times New Roman" w:hAnsi="Times New Roman"/>
          <w:sz w:val="24"/>
          <w:szCs w:val="24"/>
        </w:rPr>
        <w:t xml:space="preserve">The authors declare the following financial interests/personal relationships which may be considered as potential competing interests:</w:t>
      </w:r>
    </w:p>
    <w:p>
      <w:pPr>
        <w:spacing w:after="150"/>
      </w:pPr>
      <w:r>
        <w:rPr>
          <w:rFonts w:ascii="Times New Roman" w:cs="Times New Roman" w:eastAsia="Times New Roman" w:hAnsi="Times New Roman"/>
          <w:b/>
          <w:bCs/>
          <w:sz w:val="24"/>
          <w:szCs w:val="24"/>
        </w:rPr>
        <w:t xml:space="preserve">Employment: </w:t>
      </w:r>
      <w:r>
        <w:rPr>
          <w:rFonts w:ascii="Times New Roman" w:cs="Times New Roman" w:eastAsia="Times New Roman" w:hAnsi="Times New Roman"/>
          <w:sz w:val="24"/>
          <w:szCs w:val="24"/>
        </w:rPr>
        <w:t xml:space="preserve">The author is employed by the Astana International Financial Centre (AIFC), which operates the Astana International Exchange and is institutionally adjacent to Kazakhstan's state investment vehicles discussed in this paper.</w:t>
      </w:r>
    </w:p>
    <w:p>
      <w:pPr>
        <w:spacing w:after="200"/>
      </w:pPr>
      <w:r>
        <w:rPr>
          <w:rFonts w:ascii="Times New Roman" w:cs="Times New Roman" w:eastAsia="Times New Roman" w:hAnsi="Times New Roman"/>
          <w:b/>
          <w:bCs/>
          <w:sz w:val="24"/>
          <w:szCs w:val="24"/>
        </w:rPr>
        <w:t xml:space="preserve">Prior engagement: </w:t>
      </w:r>
      <w:r>
        <w:rPr>
          <w:rFonts w:ascii="Times New Roman" w:cs="Times New Roman" w:eastAsia="Times New Roman" w:hAnsi="Times New Roman"/>
          <w:sz w:val="24"/>
          <w:szCs w:val="24"/>
        </w:rPr>
        <w:t xml:space="preserve">The author previously worked with a consulting team on a Kazakhstan trade-strategy engagement.</w:t>
      </w:r>
    </w:p>
    <w:p>
      <w:pPr>
        <w:spacing w:after="150"/>
      </w:pPr>
      <w:r>
        <w:rPr>
          <w:rFonts w:ascii="Times New Roman" w:cs="Times New Roman" w:eastAsia="Times New Roman" w:hAnsi="Times New Roman"/>
          <w:sz w:val="24"/>
          <w:szCs w:val="24"/>
        </w:rPr>
        <w:t xml:space="preserve">Neither relationship entered the empirical analysis, which is based on public data and on commercial deal databases available under academic licence. The state-fund investment figures cited in the manuscript are drawn from a report co-published by AIFC with the Qazaqstan Investment Corporation (QIC) and the International Finance Corporation (IFC). The policy recommendations in the manuscript are the author's own and do not represent AIFC, QIC, or the IFC.</w:t>
      </w:r>
    </w:p>
    <w:p>
      <w:pPr>
        <w:spacing w:after="0" w:before="300"/>
      </w:pPr>
      <w:r>
        <w:rPr>
          <w:rFonts w:ascii="Times New Roman" w:cs="Times New Roman" w:eastAsia="Times New Roman" w:hAnsi="Times New Roman"/>
          <w:sz w:val="24"/>
          <w:szCs w:val="24"/>
        </w:rPr>
        <w:t xml:space="preserve">Signed: Zhanbolat Kakishev</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2026-09-17T11:49:06.895Z</dcterms:created>
  <dcterms:modified xsi:type="dcterms:W3CDTF">2026-09-17T11:49:06.912Z</dcterms:modified>
</cp:coreProperties>
</file>

<file path=docProps/custom.xml><?xml version="1.0" encoding="utf-8"?>
<Properties xmlns="http://schemas.openxmlformats.org/officeDocument/2006/custom-properties" xmlns:vt="http://schemas.openxmlformats.org/officeDocument/2006/docPropsVTypes"/>
</file>