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Zhanbolat Kakishev</w:t>
      </w:r>
    </w:p>
    <w:p>
      <w:r>
        <w:t xml:space="preserve">Nazarbayev University</w:t>
      </w:r>
    </w:p>
    <w:p>
      <w:r>
        <w:t xml:space="preserve">53 Kabanbay Batyr Ave, Astana 010000, Kazakhstan</w:t>
      </w:r>
    </w:p>
    <w:p>
      <w:r>
        <w:t xml:space="preserve">zhanbolat.kakishev@nu.edu.kz</w:t>
      </w:r>
    </w:p>
    <w:p/>
    <w:p>
      <w:r>
        <w:t xml:space="preserve">September 2026</w:t>
      </w:r>
    </w:p>
    <w:p/>
    <w:p>
      <w:r>
        <w:t xml:space="preserve">Dr. Luu Duc Toan Huynh, Prof. Chang Ma, Prof. Davin Chor, Dr. Viet Hoang Nguyen</w:t>
      </w:r>
    </w:p>
    <w:p>
      <w:r>
        <w:t xml:space="preserve">Guest Editors, Special Issue “Global Trade Fragmentation and Regional Trade Alliances”</w:t>
      </w:r>
    </w:p>
    <w:p>
      <w:r>
        <w:t xml:space="preserve">European Economic Review</w:t>
      </w:r>
    </w:p>
    <w:p/>
    <w:p>
      <w:r>
        <w:rPr>
          <w:b w:val="false"/>
          <w:bCs w:val="false"/>
        </w:rPr>
        <w:t xml:space="preserve">Dear Dr. Huynh, Prof. Ma, Prof. Chor, and Dr. Nguyen,</w:t>
      </w:r>
    </w:p>
    <w:p/>
    <w:p>
      <w:pPr>
        <w:spacing w:line="360"/>
      </w:pPr>
      <w:r>
        <w:t xml:space="preserve">Please consider the enclosed manuscript, "Corridor, Not Factory: Trade Reorientation and the Missing Investment Response in Kazakhstan, 2022–2025," for the special issue "Global Trade Fragmentation and Regional Trade Alliances." The manuscript is not currently under consideration at any other journal.</w:t>
      </w:r>
    </w:p>
    <w:p>
      <w:pPr>
        <w:spacing w:before="200" w:line="360"/>
      </w:pPr>
      <w:r>
        <w:t xml:space="preserve">The paper studies a case at the center of the special issue's call: after February 2022, a large, sector-specific share of Russia's disrupted trade was reallocated through neighbouring economies, Kazakhstan among them. We measure the shock, estimate what the host economy retains from it, and ask whether it induced domestic investment — finding that it did not. We read that null through a three-gate framework (market access, irreversibility, capital-market institutions) in which a regional trade alliance does substantive work: Kazakhstan's customs union with the destination market is what keeps the market-access gate open, and it is this feature of the regional arrangement — not only the shock's size — that the framework identifies as central to the missing supply response. The paper is accordingly a direct empirical instance of how regional trade alliances shape the domestic consequences of geoeconomic fragmentation, one of the special issue's explicitly stated themes, alongside sanctions, supply-chain reconfiguration, and firm-level investment responses.</w:t>
      </w:r>
    </w:p>
    <w:p>
      <w:pPr>
        <w:spacing w:before="200" w:line="360"/>
      </w:pPr>
      <w:r>
        <w:t xml:space="preserve">The analysis combines public trade data (UN Comtrade, an OECD input–output table) with a hand-assembled, cross-validated deal-level dataset spanning three commercial databases (S&amp;P Capital IQ, PitchBook, Preqin) to measure both the trade reallocation and the (missing) investment response it did or did not induce. Replication code and a full data-availability statement accompany the submission.</w:t>
      </w:r>
    </w:p>
    <w:p>
      <w:pPr>
        <w:spacing w:before="200" w:line="360"/>
      </w:pPr>
      <w:r>
        <w:t xml:space="preserve">The author has no conflicts of interest to disclose beyond those stated in the manuscript's Declaration of Competing Interest. Thank you for your consideration.</w:t>
      </w:r>
    </w:p>
    <w:p>
      <w:pPr>
        <w:spacing w:before="300"/>
      </w:pPr>
      <w:r>
        <w:t xml:space="preserve">Sincerely,</w:t>
      </w:r>
    </w:p>
    <w:p>
      <w:pPr>
        <w:spacing w:before="200"/>
      </w:pPr>
      <w:r>
        <w:t xml:space="preserve">Zhanbolat Kakishev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2026-09-29T14:20:03.051Z</dcterms:created>
  <dcterms:modified xsi:type="dcterms:W3CDTF">2026-09-29T14:20:03.052Z</dcterms:modified>
</cp:coreProperties>
</file>

<file path=docProps/custom.xml><?xml version="1.0" encoding="utf-8"?>
<Properties xmlns="http://schemas.openxmlformats.org/officeDocument/2006/custom-properties" xmlns:vt="http://schemas.openxmlformats.org/officeDocument/2006/docPropsVTypes"/>
</file>