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Declaration of Competing Interest</w:t>
      </w:r>
    </w:p>
    <w:p>
      <w:pPr>
        <w:spacing w:before="200"/>
      </w:pPr>
      <w:r>
        <w:rPr>
          <w:i/>
          <w:iCs/>
        </w:rPr>
        <w:t xml:space="preserve">Manuscript: Corridor, Not Factory: Trade Reorientation and the Missing Investment Response in Kazakhstan, 2022–2025</w:t>
      </w:r>
    </w:p>
    <w:p>
      <w:pPr>
        <w:spacing w:before="200"/>
      </w:pPr>
      <w:r>
        <w:t xml:space="preserve">Author: Zhanbolat Kakishev</w:t>
      </w:r>
    </w:p>
    <w:p>
      <w:pPr>
        <w:spacing w:before="300" w:line="360"/>
      </w:pPr>
      <w:r>
        <w:t xml:space="preserve">The author is employed by the Astana International Financial Centre (AIFC), which operates the Astana International Exchange and is institutionally adjacent to Kazakhstan's state investment vehicles. This role is not used in the empirical analysis, which is based on public data and on commercial deal databases to which the author has academic access. The manuscript makes explicit investment-policy recommendations; these are the author's own, informed by but not representing the AIFC, the Qazaqstan Investment Corporation (QIC), or the International Finance Corporation (IFC). The state-fund investment figures cited are drawn from a report co-published by the AIFC with QIC and the IFC.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2026-09-29T14:20:03.071Z</dcterms:created>
  <dcterms:modified xsi:type="dcterms:W3CDTF">2026-09-29T14:20:03.071Z</dcterms:modified>
</cp:coreProperties>
</file>

<file path=docProps/custom.xml><?xml version="1.0" encoding="utf-8"?>
<Properties xmlns="http://schemas.openxmlformats.org/officeDocument/2006/custom-properties" xmlns:vt="http://schemas.openxmlformats.org/officeDocument/2006/docPropsVTypes"/>
</file>