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Highlights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"Corridor, Not Factory: Trade Reorientation and the Missing Investment Response in Kazakhstan, 2022–2025"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Trade through Kazakhstan to Russia rose roughly tenfold after February 2022.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rerouted dollar creates about a tenth the value added of a produced one.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Three commercial deal databases show no investment response to the shock.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customs union makes trade a close substitute for domestic production.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Kazakhstan's least capital-constrained investor also did not build capacity.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2026-09-17T11:49:06.918Z</dcterms:created>
  <dcterms:modified xsi:type="dcterms:W3CDTF">2026-09-17T11:49:06.918Z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