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Corridor, Not Factory: Trade Reorientation and the Missing Investment Response in Kazakhstan, 2022–2025</w:t>
      </w:r>
    </w:p>
    <w:p/>
    <w:p>
      <w:pPr>
        <w:jc w:val="center"/>
      </w:pPr>
      <w:r>
        <w:rPr>
          <w:sz w:val="24"/>
          <w:szCs w:val="24"/>
        </w:rPr>
        <w:t xml:space="preserve">Zhanbolat Kakishev</w:t>
      </w:r>
    </w:p>
    <w:p>
      <w:pPr>
        <w:jc w:val="center"/>
      </w:pPr>
      <w:r>
        <w:t xml:space="preserve">Nazarbayev University</w:t>
      </w:r>
    </w:p>
    <w:p>
      <w:pPr>
        <w:jc w:val="center"/>
      </w:pPr>
      <w:r>
        <w:t xml:space="preserve">53 Kabanbay Batyr Ave, Astana 010000, Kazakhstan</w:t>
      </w:r>
    </w:p>
    <w:p>
      <w:pPr>
        <w:jc w:val="center"/>
      </w:pPr>
      <w:r>
        <w:t xml:space="preserve">zhanbolat.kakishev@nu.edu.kz (corresponding author)</w:t>
      </w:r>
    </w:p>
    <w:p>
      <w:pPr>
        <w:jc w:val="center"/>
      </w:pPr>
      <w:r>
        <w:t xml:space="preserve">ORCID: 0009-0002-2227-0469</w:t>
      </w:r>
    </w:p>
    <w:p/>
    <w:p>
      <w:r>
        <w:rPr>
          <w:b/>
          <w:bCs/>
        </w:rPr>
        <w:t xml:space="preserve">Special issue: </w:t>
      </w:r>
      <w:r>
        <w:t xml:space="preserve">Global Trade Fragmentation and Regional Trade Alliances (Short Special Issue Name: VSI: Global Trade)</w:t>
      </w:r>
    </w:p>
    <w:p/>
    <w:p>
      <w:r>
        <w:rPr>
          <w:b/>
          <w:bCs/>
        </w:rPr>
        <w:t xml:space="preserve">Conflict of interest. </w:t>
      </w:r>
    </w:p>
    <w:p>
      <w:pPr>
        <w:spacing w:line="360"/>
      </w:pPr>
      <w:r>
        <w:t xml:space="preserve">The author is employed by the Astana International Financial Centre (AIFC), which operates the Astana International Exchange and is institutionally adjacent to Kazakhstan's state investment vehicles. This role is not used in the empirical analysis, which is based on public data and on commercial deal databases to which the author has academic access. The manuscript makes explicit investment-policy recommendations; these are the author's own, informed by but not representing the AIFC, the Qazaqstan Investment Corporation (QIC), or the International Finance Corporation (IFC). The state-fund investment figures cited are drawn from a report co-published by the AIFC with QIC and the IFC.</w:t>
      </w:r>
    </w:p>
    <w:p/>
    <w:p>
      <w:r>
        <w:rPr>
          <w:b/>
          <w:bCs/>
        </w:rPr>
        <w:t xml:space="preserve">Funding. </w:t>
      </w:r>
      <w:r>
        <w:t xml:space="preserve">This research received no specific grant from any funding agency in the public, commercial, or not-for-profit sectors.</w:t>
      </w:r>
    </w:p>
    <w:p/>
    <w:p>
      <w:r>
        <w:rPr>
          <w:b/>
          <w:bCs/>
        </w:rPr>
        <w:t xml:space="preserve">CRediT authorship contribution statement. </w:t>
      </w:r>
      <w:r>
        <w:t xml:space="preserve">Zhanbolat Kakishev: Conceptualization, Data curation, Formal analysis, Investigation, Methodology, Software, Validation, Visualization, Writing – original draft, Writing – review &amp; editing.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2026-09-29T14:20:03.058Z</dcterms:created>
  <dcterms:modified xsi:type="dcterms:W3CDTF">2026-09-29T14:20:03.058Z</dcterms:modified>
</cp:coreProperties>
</file>

<file path=docProps/custom.xml><?xml version="1.0" encoding="utf-8"?>
<Properties xmlns="http://schemas.openxmlformats.org/officeDocument/2006/custom-properties" xmlns:vt="http://schemas.openxmlformats.org/officeDocument/2006/docPropsVTypes"/>
</file>