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0"/>
          <w:szCs w:val="30"/>
        </w:rPr>
        <w:t xml:space="preserve">Corridor, Not Factory: Trade Reorientation and the Missing Investment Response in Kazakhstan, 2022–2025</w:t>
      </w:r>
    </w:p>
    <w:p>
      <w:pPr>
        <w:spacing w:after="200"/>
        <w:jc w:val="center"/>
      </w:pPr>
      <w:r>
        <w:rPr>
          <w:rFonts w:ascii="Times New Roman" w:cs="Times New Roman" w:eastAsia="Times New Roman" w:hAnsi="Times New Roman"/>
          <w:sz w:val="24"/>
          <w:szCs w:val="24"/>
        </w:rPr>
        <w:t xml:space="preserve">Zhanbolat Kakishev</w:t>
      </w:r>
      <w:r>
        <w:rPr>
          <w:rFonts w:ascii="Times New Roman" w:cs="Times New Roman" w:eastAsia="Times New Roman" w:hAnsi="Times New Roman"/>
          <w:sz w:val="24"/>
          <w:szCs w:val="24"/>
          <w:vertAlign w:val="superscript"/>
        </w:rPr>
        <w:t xml:space="preserve">a,*</w:t>
      </w:r>
    </w:p>
    <w:p>
      <w:pPr>
        <w:spacing w:after="200"/>
        <w:jc w:val="center"/>
      </w:pPr>
      <w:r>
        <w:rPr>
          <w:rFonts w:ascii="Times New Roman" w:cs="Times New Roman" w:eastAsia="Times New Roman" w:hAnsi="Times New Roman"/>
          <w:sz w:val="24"/>
          <w:szCs w:val="24"/>
          <w:vertAlign w:val="superscript"/>
        </w:rPr>
        <w:t xml:space="preserve">a</w:t>
      </w:r>
      <w:r>
        <w:rPr>
          <w:rFonts w:ascii="Times New Roman" w:cs="Times New Roman" w:eastAsia="Times New Roman" w:hAnsi="Times New Roman"/>
          <w:sz w:val="24"/>
          <w:szCs w:val="24"/>
        </w:rPr>
        <w:t xml:space="preserve">Nazarbayev University, Graduate School of Business, 53 Kabanbay Batyr Ave, Astana 010000, Kazakhstan</w:t>
      </w:r>
    </w:p>
    <w:p>
      <w:pPr>
        <w:spacing w:after="200"/>
        <w:jc w:val="center"/>
      </w:pPr>
      <w:r>
        <w:rPr>
          <w:rFonts w:ascii="Times New Roman" w:cs="Times New Roman" w:eastAsia="Times New Roman" w:hAnsi="Times New Roman"/>
          <w:sz w:val="24"/>
          <w:szCs w:val="24"/>
        </w:rPr>
        <w:t xml:space="preserve">* Corresponding author. E-mail: zhanbolat.kakishev@nu.edu.kz</w:t>
      </w:r>
    </w:p>
    <w:p>
      <w:pPr>
        <w:spacing w:after="400"/>
        <w:jc w:val="center"/>
      </w:pPr>
      <w:r>
        <w:rPr>
          <w:rFonts w:ascii="Times New Roman" w:cs="Times New Roman" w:eastAsia="Times New Roman" w:hAnsi="Times New Roman"/>
          <w:sz w:val="24"/>
          <w:szCs w:val="24"/>
        </w:rPr>
        <w:t xml:space="preserve">ORCID: https://orcid.org/0009-0002-2227-0469</w:t>
      </w:r>
    </w:p>
    <w:p>
      <w:pPr>
        <w:spacing w:after="200"/>
      </w:pPr>
      <w:r>
        <w:rPr>
          <w:rFonts w:ascii="Times New Roman" w:cs="Times New Roman" w:eastAsia="Times New Roman" w:hAnsi="Times New Roman"/>
          <w:b/>
          <w:bCs/>
          <w:sz w:val="24"/>
          <w:szCs w:val="24"/>
        </w:rPr>
        <w:t xml:space="preserve">Footnote to the title (conflict of interest)</w:t>
      </w:r>
    </w:p>
    <w:p>
      <w:pPr>
        <w:spacing w:after="200"/>
      </w:pPr>
      <w:r>
        <w:rPr>
          <w:rFonts w:ascii="Times New Roman" w:cs="Times New Roman" w:eastAsia="Times New Roman" w:hAnsi="Times New Roman"/>
          <w:sz w:val="24"/>
          <w:szCs w:val="24"/>
        </w:rPr>
        <w:t xml:space="preserve">The author is employed by the Astana International Financial Centre (AIFC), which operates the Astana International Exchange and is institutionally adjacent to Kazakhstan’s state investment vehicles. This role does not enter the empirical analysis, which is based on public data and on commercial deal databases available under academic licence. The state-fund investment figures cited in the manuscript are drawn from a report co-published by AIFC with the Qazaqstan Investment Corporation (QIC) and the International Finance Corporation (IFC). The policy recommendations in the manuscript are the author’s own and do not represent AIFC, QIC, or the IFC.</w:t>
      </w:r>
    </w:p>
    <w:p>
      <w:pPr>
        <w:spacing w:after="200"/>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pPr>
        <w:spacing w:after="200"/>
      </w:pPr>
      <w:r>
        <w:rPr>
          <w:rFonts w:ascii="Times New Roman" w:cs="Times New Roman" w:eastAsia="Times New Roman" w:hAnsi="Times New Roman"/>
          <w:b/>
          <w:bCs/>
          <w:sz w:val="24"/>
          <w:szCs w:val="24"/>
        </w:rPr>
        <w:t xml:space="preserve">CRediT authorship contribution statement. </w:t>
      </w:r>
      <w:r>
        <w:rPr>
          <w:rFonts w:ascii="Times New Roman" w:cs="Times New Roman" w:eastAsia="Times New Roman" w:hAnsi="Times New Roman"/>
          <w:sz w:val="24"/>
          <w:szCs w:val="24"/>
        </w:rPr>
        <w:t xml:space="preserve">Zhanbolat Kakishev: Conceptualization, Methodology, Software, Formal analysis, Data curation, Writing — original draft, Writing — review &amp; editing, Visualization.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2026-09-29T05:42:25.787Z</dcterms:created>
  <dcterms:modified xsi:type="dcterms:W3CDTF">2026-09-29T05:42:25.800Z</dcterms:modified>
</cp:coreProperties>
</file>

<file path=docProps/custom.xml><?xml version="1.0" encoding="utf-8"?>
<Properties xmlns="http://schemas.openxmlformats.org/officeDocument/2006/custom-properties" xmlns:vt="http://schemas.openxmlformats.org/officeDocument/2006/docPropsVTypes"/>
</file>