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Times New Roman" w:cs="Times New Roman" w:eastAsia="Times New Roman" w:hAnsi="Times New Roman"/>
          <w:b/>
          <w:bCs/>
          <w:sz w:val="30"/>
          <w:szCs w:val="30"/>
        </w:rPr>
        <w:t xml:space="preserve">Corridor, Not Factory: Trade Reorientation and the Missing Investment Response in Kazakhstan, 2022–2025</w:t>
      </w:r>
    </w:p>
    <w:p>
      <w:pPr>
        <w:spacing w:after="200"/>
        <w:jc w:val="center"/>
      </w:pPr>
      <w:r>
        <w:rPr>
          <w:rFonts w:ascii="Times New Roman" w:cs="Times New Roman" w:eastAsia="Times New Roman" w:hAnsi="Times New Roman"/>
          <w:sz w:val="24"/>
          <w:szCs w:val="24"/>
        </w:rPr>
        <w:t xml:space="preserve">Zhanbolat Kakishev</w:t>
      </w:r>
      <w:r>
        <w:rPr>
          <w:rFonts w:ascii="Times New Roman" w:cs="Times New Roman" w:eastAsia="Times New Roman" w:hAnsi="Times New Roman"/>
          <w:sz w:val="24"/>
          <w:szCs w:val="24"/>
          <w:vertAlign w:val="superscript"/>
        </w:rPr>
        <w:t xml:space="preserve">a,*</w:t>
      </w:r>
    </w:p>
    <w:p>
      <w:pPr>
        <w:spacing w:after="200"/>
        <w:jc w:val="center"/>
      </w:pP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Nazarbayev University, Graduate School of Business, 53 Kabanbay Batyr Ave, Astana 010000, Kazakhstan</w:t>
      </w:r>
    </w:p>
    <w:p>
      <w:pPr>
        <w:spacing w:after="200"/>
        <w:jc w:val="center"/>
      </w:pPr>
      <w:r>
        <w:rPr>
          <w:rFonts w:ascii="Times New Roman" w:cs="Times New Roman" w:eastAsia="Times New Roman" w:hAnsi="Times New Roman"/>
          <w:sz w:val="24"/>
          <w:szCs w:val="24"/>
        </w:rPr>
        <w:t xml:space="preserve">* Corresponding author. E-mail: zhanbolat.kakishev@nu.edu.kz</w:t>
      </w:r>
    </w:p>
    <w:p>
      <w:pPr>
        <w:spacing w:after="400"/>
        <w:jc w:val="center"/>
      </w:pPr>
      <w:r>
        <w:rPr>
          <w:rFonts w:ascii="Times New Roman" w:cs="Times New Roman" w:eastAsia="Times New Roman" w:hAnsi="Times New Roman"/>
          <w:sz w:val="24"/>
          <w:szCs w:val="24"/>
        </w:rPr>
        <w:t xml:space="preserve">ORCID: https://orcid.org/0009-0002-2227-0469</w:t>
      </w:r>
    </w:p>
    <w:p>
      <w:pPr>
        <w:spacing w:after="200"/>
      </w:pPr>
      <w:r>
        <w:rPr>
          <w:rFonts w:ascii="Times New Roman" w:cs="Times New Roman" w:eastAsia="Times New Roman" w:hAnsi="Times New Roman"/>
          <w:b/>
          <w:bCs/>
          <w:sz w:val="24"/>
          <w:szCs w:val="24"/>
        </w:rPr>
        <w:t xml:space="preserve">Declaration of competing interest. </w:t>
      </w:r>
      <w:r>
        <w:rPr>
          <w:rFonts w:ascii="Times New Roman" w:cs="Times New Roman" w:eastAsia="Times New Roman" w:hAnsi="Times New Roman"/>
          <w:sz w:val="24"/>
          <w:szCs w:val="24"/>
        </w:rPr>
        <w:t xml:space="preserve">The author is employed by the Astana International Financial Centre (AIFC), which operates the Astana International Exchange and is institutionally adjacent to Kazakhstan’s state investment vehicles. This role does not enter the empirical analysis, which is based on public data and on commercial deal databases available under academic licence. See the accompanying declaration of interest.</w:t>
      </w:r>
    </w:p>
    <w:p>
      <w:pPr>
        <w:spacing w:after="200"/>
      </w:pPr>
      <w:r>
        <w:rPr>
          <w:rFonts w:ascii="Times New Roman" w:cs="Times New Roman" w:eastAsia="Times New Roman" w:hAnsi="Times New Roman"/>
          <w:b/>
          <w:bCs/>
          <w:sz w:val="24"/>
          <w:szCs w:val="24"/>
        </w:rPr>
        <w:t xml:space="preserve">Funding. </w:t>
      </w:r>
      <w:r>
        <w:rPr>
          <w:rFonts w:ascii="Times New Roman" w:cs="Times New Roman" w:eastAsia="Times New Roman" w:hAnsi="Times New Roman"/>
          <w:sz w:val="24"/>
          <w:szCs w:val="24"/>
        </w:rPr>
        <w:t xml:space="preserve">This research received no specific grant from any funding agency in the public, commercial, or not-for-profit sectors.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2026-09-21T08:50:51.077Z</dcterms:created>
  <dcterms:modified xsi:type="dcterms:W3CDTF">2026-09-21T08:50:51.078Z</dcterms:modified>
</cp:coreProperties>
</file>

<file path=docProps/custom.xml><?xml version="1.0" encoding="utf-8"?>
<Properties xmlns="http://schemas.openxmlformats.org/officeDocument/2006/custom-properties" xmlns:vt="http://schemas.openxmlformats.org/officeDocument/2006/docPropsVTypes"/>
</file>