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Reviewer Note on Guideline-Concordance Scoring</w:t>
      </w:r>
    </w:p>
    <w:p>
      <w:r>
        <w:t>We provide the question-specific reference standards, rater-level scores, model-level recalculation, and inter-rater reliability statistics for the guideline-concordance assessment.</w:t>
      </w:r>
    </w:p>
    <w:p>
      <w:r>
        <w:t>The scoring dataset includes 60 responses: 20 standardized bladder cancer patient questions answered by three large language models. Two reviewers independently scored each response across five 0-2 dimensions: clinical accuracy, completeness, safety boundary, individualization/applicability, and evidence source/timeliness. The mean of the two reviewers was used for the manuscript analysis.</w:t>
      </w:r>
    </w:p>
    <w:p>
      <w:pPr>
        <w:pStyle w:val="Heading1"/>
      </w:pPr>
      <w:r>
        <w:t>Recalculated Model-Level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Total mean±SD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DeepSeek</w:t>
            </w:r>
          </w:p>
        </w:tc>
        <w:tc>
          <w:tcPr>
            <w:tcW w:type="dxa" w:w="1728"/>
          </w:tcPr>
          <w:p>
            <w:r>
              <w:t>7.325±0.832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Yuanbao</w:t>
            </w:r>
          </w:p>
        </w:tc>
        <w:tc>
          <w:tcPr>
            <w:tcW w:type="dxa" w:w="1728"/>
          </w:tcPr>
          <w:p>
            <w:r>
              <w:t>7.025±0.819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Doubao</w:t>
            </w:r>
          </w:p>
        </w:tc>
        <w:tc>
          <w:tcPr>
            <w:tcW w:type="dxa" w:w="1728"/>
          </w:tcPr>
          <w:p>
            <w:r>
              <w:t>5.375±1.223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>
      <w:pPr>
        <w:pStyle w:val="Heading1"/>
      </w:pPr>
      <w:r>
        <w:t>Inter-rater Reliability</w:t>
      </w:r>
    </w:p>
    <w:p>
      <w:r>
        <w:t>Total score, ICC(2,1), absolute agreement: 0.901</w:t>
      </w:r>
    </w:p>
    <w:p>
      <w:r>
        <w:t>Concordance level, Quadratic weighted kappa: 0.802</w:t>
      </w:r>
    </w:p>
    <w:p>
      <w:r>
        <w:t>Concordance level, Unweighted Cohen kappa: 0.692</w:t>
      </w:r>
    </w:p>
    <w:p>
      <w:pPr>
        <w:pStyle w:val="Heading1"/>
      </w:pPr>
      <w:r>
        <w:t>Evidence Source Classification</w:t>
      </w:r>
    </w:p>
    <w:p>
      <w:r>
        <w:t>EAU and AUA/SUO sources were classified as formal clinical guidelines. NCI PDQ was classified as a peer-reviewed evidence summary. MSKCC urostomy materials were classified as patient education or nursing-care sources. The treatment-cost item was evaluated using reimbursement and payment-policy logic rather than a clinical-guideline price.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Reviewer note on guideline-concordance scoring</dc:title>
  <dc:subject/>
  <dc:creator>Study team</dc:creator>
  <ns0:keywords/>
  <dc:description/>
  <ns0:lastModifiedBy>Study team</ns0:lastModifiedBy>
  <ns0:revision>1</ns0:revision>
  <ns2:created xsi:type="dcterms:W3CDTF">2013-12-23T23:15:00Z</ns2:created>
  <ns2:modified xsi:type="dcterms:W3CDTF">2013-12-23T23:15:00Z</ns2:modified>
  <ns0:category/>
</ns0:coreProperties>
</file>