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58EBB313" w:rsidR="00CE6EAA" w:rsidRPr="00BF1BF9" w:rsidRDefault="004058A9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Geophysical Research Letters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61750CDF" w14:textId="516A1BA2" w:rsidR="004058A9" w:rsidRDefault="004058A9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4058A9">
        <w:rPr>
          <w:rFonts w:ascii="Myriad Pro" w:hAnsi="Myriad Pro"/>
          <w:b/>
          <w:sz w:val="22"/>
          <w:szCs w:val="22"/>
        </w:rPr>
        <w:t>Partitioning Th</w:t>
      </w:r>
      <w:r w:rsidR="000D239F">
        <w:rPr>
          <w:rFonts w:ascii="Myriad Pro" w:hAnsi="Myriad Pro"/>
          <w:b/>
          <w:sz w:val="22"/>
          <w:szCs w:val="22"/>
        </w:rPr>
        <w:t>resholds in Hybrid Implicit-</w:t>
      </w:r>
      <w:r w:rsidRPr="004058A9">
        <w:rPr>
          <w:rFonts w:ascii="Myriad Pro" w:hAnsi="Myriad Pro"/>
          <w:b/>
          <w:sz w:val="22"/>
          <w:szCs w:val="22"/>
        </w:rPr>
        <w:t xml:space="preserve">Explicit Representations of Naturally Fractured Reservoirs </w:t>
      </w:r>
    </w:p>
    <w:p w14:paraId="42FFC78E" w14:textId="6C97C562" w:rsidR="00FF3503" w:rsidRDefault="004058A9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Daniel Wong</w:t>
      </w:r>
      <w:r w:rsidRPr="004058A9"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>, Florian Doster</w:t>
      </w:r>
      <w:r w:rsidRPr="004058A9"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>, Sebastian Geiger</w:t>
      </w:r>
      <w:r w:rsidRPr="004058A9"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>, Arjan Kamp</w:t>
      </w:r>
      <w:r w:rsidRPr="004058A9">
        <w:rPr>
          <w:rFonts w:ascii="Myriad Pro" w:hAnsi="Myriad Pro"/>
          <w:sz w:val="22"/>
          <w:szCs w:val="22"/>
          <w:vertAlign w:val="superscript"/>
        </w:rPr>
        <w:t>2</w:t>
      </w:r>
    </w:p>
    <w:p w14:paraId="69976EF8" w14:textId="4A6478E6" w:rsidR="00B77E40" w:rsidRDefault="004058A9" w:rsidP="00FF3503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4058A9">
        <w:rPr>
          <w:rFonts w:ascii="Myriad Pro" w:hAnsi="Myriad Pro"/>
          <w:sz w:val="18"/>
          <w:szCs w:val="18"/>
          <w:vertAlign w:val="superscript"/>
        </w:rPr>
        <w:t>1</w:t>
      </w:r>
      <w:r>
        <w:rPr>
          <w:rFonts w:ascii="Myriad Pro" w:hAnsi="Myriad Pro"/>
          <w:sz w:val="18"/>
          <w:szCs w:val="18"/>
        </w:rPr>
        <w:t>Institute of Petroleum Engineering, Heriot-Watt University</w:t>
      </w:r>
      <w:r>
        <w:rPr>
          <w:rFonts w:ascii="Myriad Pro" w:hAnsi="Myriad Pro"/>
          <w:sz w:val="18"/>
          <w:szCs w:val="18"/>
        </w:rPr>
        <w:br/>
      </w:r>
      <w:r w:rsidRPr="004058A9">
        <w:rPr>
          <w:rFonts w:ascii="Myriad Pro" w:hAnsi="Myriad Pro"/>
          <w:sz w:val="18"/>
          <w:szCs w:val="18"/>
          <w:vertAlign w:val="superscript"/>
        </w:rPr>
        <w:t>2</w:t>
      </w:r>
      <w:r>
        <w:rPr>
          <w:rFonts w:ascii="Myriad Pro" w:hAnsi="Myriad Pro"/>
          <w:sz w:val="18"/>
          <w:szCs w:val="18"/>
        </w:rPr>
        <w:t>Total S.A.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01E76A48" w14:textId="69BBF9BD" w:rsidR="00A460A3" w:rsidRPr="00A460A3" w:rsidRDefault="0028559D" w:rsidP="00A460A3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Table S1</w:t>
      </w: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218F825A" w14:textId="36D0D9F8" w:rsidR="00FF3503" w:rsidRDefault="00FD50CE" w:rsidP="00FD50CE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Additional numerical studies performed that corroborate the findings in the paper are presented here. </w:t>
      </w:r>
      <w:r w:rsidR="00410CCC">
        <w:rPr>
          <w:rFonts w:ascii="Myriad Pro" w:hAnsi="Myriad Pro"/>
          <w:sz w:val="22"/>
          <w:szCs w:val="22"/>
        </w:rPr>
        <w:t>In addition to the</w:t>
      </w:r>
      <w:r w:rsidR="00556334">
        <w:rPr>
          <w:rFonts w:ascii="Myriad Pro" w:hAnsi="Myriad Pro"/>
          <w:sz w:val="22"/>
          <w:szCs w:val="22"/>
        </w:rPr>
        <w:t xml:space="preserve"> four 3D cases presented in the paper, we p</w:t>
      </w:r>
      <w:r w:rsidR="00410CCC">
        <w:rPr>
          <w:rFonts w:ascii="Myriad Pro" w:hAnsi="Myriad Pro"/>
          <w:sz w:val="22"/>
          <w:szCs w:val="22"/>
        </w:rPr>
        <w:t>resent here nine other cases. The properties for these nine cases are</w:t>
      </w:r>
      <w:r w:rsidR="00556334">
        <w:rPr>
          <w:rFonts w:ascii="Myriad Pro" w:hAnsi="Myriad Pro"/>
          <w:sz w:val="22"/>
          <w:szCs w:val="22"/>
        </w:rPr>
        <w:t xml:space="preserve"> discussed in Text S1 and summarized in Table S1. The results of Fracture Subset Upscaling</w:t>
      </w:r>
      <w:r w:rsidR="00627D3E">
        <w:rPr>
          <w:rFonts w:ascii="Myriad Pro" w:hAnsi="Myriad Pro"/>
          <w:sz w:val="22"/>
          <w:szCs w:val="22"/>
        </w:rPr>
        <w:t xml:space="preserve"> (FSU)</w:t>
      </w:r>
      <w:r w:rsidR="00556334">
        <w:rPr>
          <w:rFonts w:ascii="Myriad Pro" w:hAnsi="Myriad Pro"/>
          <w:sz w:val="22"/>
          <w:szCs w:val="22"/>
        </w:rPr>
        <w:t xml:space="preserve"> and drawdown simulations are shown in Figures S1 and S2.</w:t>
      </w:r>
    </w:p>
    <w:p w14:paraId="516E0BA3" w14:textId="46CC251E" w:rsidR="0020183F" w:rsidRPr="00870F55" w:rsidRDefault="00556334" w:rsidP="00870F55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For the </w:t>
      </w:r>
      <w:proofErr w:type="gramStart"/>
      <w:r>
        <w:rPr>
          <w:rFonts w:ascii="Myriad Pro" w:hAnsi="Myriad Pro"/>
          <w:sz w:val="22"/>
          <w:szCs w:val="22"/>
        </w:rPr>
        <w:t>outcrop based</w:t>
      </w:r>
      <w:proofErr w:type="gramEnd"/>
      <w:r>
        <w:rPr>
          <w:rFonts w:ascii="Myriad Pro" w:hAnsi="Myriad Pro"/>
          <w:sz w:val="22"/>
          <w:szCs w:val="22"/>
        </w:rPr>
        <w:t xml:space="preserve"> datasets – </w:t>
      </w:r>
      <w:proofErr w:type="spellStart"/>
      <w:r>
        <w:rPr>
          <w:rFonts w:ascii="Myriad Pro" w:hAnsi="Myriad Pro"/>
          <w:sz w:val="22"/>
          <w:szCs w:val="22"/>
        </w:rPr>
        <w:t>Apodi</w:t>
      </w:r>
      <w:proofErr w:type="spellEnd"/>
      <w:r>
        <w:rPr>
          <w:rFonts w:ascii="Myriad Pro" w:hAnsi="Myriad Pro"/>
          <w:sz w:val="22"/>
          <w:szCs w:val="22"/>
        </w:rPr>
        <w:t xml:space="preserve"> 2 and 4, we also performed additional well test simulations</w:t>
      </w:r>
      <w:r w:rsidR="00410CCC">
        <w:rPr>
          <w:rFonts w:ascii="Myriad Pro" w:hAnsi="Myriad Pro"/>
          <w:sz w:val="22"/>
          <w:szCs w:val="22"/>
        </w:rPr>
        <w:t xml:space="preserve"> by using different well positions</w:t>
      </w:r>
      <w:r>
        <w:rPr>
          <w:rFonts w:ascii="Myriad Pro" w:hAnsi="Myriad Pro"/>
          <w:sz w:val="22"/>
          <w:szCs w:val="22"/>
        </w:rPr>
        <w:t xml:space="preserve">. </w:t>
      </w:r>
      <w:r w:rsidR="00E84819">
        <w:rPr>
          <w:rFonts w:ascii="Myriad Pro" w:hAnsi="Myriad Pro"/>
          <w:sz w:val="22"/>
          <w:szCs w:val="22"/>
        </w:rPr>
        <w:t>The</w:t>
      </w:r>
      <w:r>
        <w:rPr>
          <w:rFonts w:ascii="Myriad Pro" w:hAnsi="Myriad Pro"/>
          <w:sz w:val="22"/>
          <w:szCs w:val="22"/>
        </w:rPr>
        <w:t xml:space="preserve"> results are shown in Figure S3.</w:t>
      </w:r>
    </w:p>
    <w:p w14:paraId="2EFDC344" w14:textId="5838DD45" w:rsidR="00556334" w:rsidRDefault="00556334" w:rsidP="00EF25A3">
      <w:pPr>
        <w:pStyle w:val="SMText"/>
        <w:ind w:firstLine="0"/>
        <w:rPr>
          <w:rFonts w:ascii="Myriad Pro" w:hAnsi="Myriad Pro"/>
          <w:b/>
          <w:i/>
          <w:sz w:val="22"/>
          <w:szCs w:val="22"/>
        </w:rPr>
      </w:pPr>
    </w:p>
    <w:p w14:paraId="3AEAC766" w14:textId="070ED4A1" w:rsidR="004058A9" w:rsidRDefault="004058A9" w:rsidP="004058A9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lastRenderedPageBreak/>
        <w:t xml:space="preserve">Table S1. </w:t>
      </w:r>
      <w:r w:rsidR="00BD7E74">
        <w:rPr>
          <w:rFonts w:ascii="Myriad Pro" w:hAnsi="Myriad Pro"/>
          <w:b w:val="0"/>
          <w:sz w:val="22"/>
          <w:szCs w:val="22"/>
        </w:rPr>
        <w:t xml:space="preserve">Parameters used for 3D DFN </w:t>
      </w:r>
      <w:proofErr w:type="gramStart"/>
      <w:r w:rsidR="00BD7E74">
        <w:rPr>
          <w:rFonts w:ascii="Myriad Pro" w:hAnsi="Myriad Pro"/>
          <w:b w:val="0"/>
          <w:sz w:val="22"/>
          <w:szCs w:val="22"/>
        </w:rPr>
        <w:t>g</w:t>
      </w:r>
      <w:r>
        <w:rPr>
          <w:rFonts w:ascii="Myriad Pro" w:hAnsi="Myriad Pro"/>
          <w:b w:val="0"/>
          <w:sz w:val="22"/>
          <w:szCs w:val="22"/>
        </w:rPr>
        <w:t>eneration</w:t>
      </w:r>
      <w:r w:rsidR="00BD7E74">
        <w:rPr>
          <w:rFonts w:ascii="Myriad Pro" w:hAnsi="Myriad Pro"/>
          <w:b w:val="0"/>
          <w:sz w:val="22"/>
          <w:szCs w:val="22"/>
        </w:rPr>
        <w:t>.*</w:t>
      </w:r>
      <w:proofErr w:type="gramEnd"/>
    </w:p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767"/>
        <w:gridCol w:w="1371"/>
        <w:gridCol w:w="583"/>
        <w:gridCol w:w="979"/>
        <w:gridCol w:w="1004"/>
        <w:gridCol w:w="1032"/>
        <w:gridCol w:w="475"/>
        <w:gridCol w:w="2154"/>
      </w:tblGrid>
      <w:tr w:rsidR="00BD7E74" w14:paraId="11FA8D93" w14:textId="77777777" w:rsidTr="005B1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3E11BDFA" w14:textId="20507193" w:rsidR="004058A9" w:rsidRPr="000A5525" w:rsidRDefault="004058A9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 w:rsidRPr="000A5525">
              <w:rPr>
                <w:rFonts w:ascii="Myriad Pro" w:hAnsi="Myriad Pro"/>
                <w:b/>
                <w:sz w:val="20"/>
                <w:szCs w:val="22"/>
              </w:rPr>
              <w:t>Case</w:t>
            </w:r>
          </w:p>
        </w:tc>
        <w:tc>
          <w:tcPr>
            <w:tcW w:w="1371" w:type="dxa"/>
          </w:tcPr>
          <w:p w14:paraId="49B1F4A4" w14:textId="1E236424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583" w:type="dxa"/>
          </w:tcPr>
          <w:p w14:paraId="4B0302BB" w14:textId="4EC58820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79" w:type="dxa"/>
          </w:tcPr>
          <w:p w14:paraId="4D8CA0E4" w14:textId="0B0425AB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(m)</m:t>
                </m:r>
              </m:oMath>
            </m:oMathPara>
          </w:p>
        </w:tc>
        <w:tc>
          <w:tcPr>
            <w:tcW w:w="1004" w:type="dxa"/>
          </w:tcPr>
          <w:p w14:paraId="27052651" w14:textId="3925D621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(m)</m:t>
                </m:r>
              </m:oMath>
            </m:oMathPara>
          </w:p>
        </w:tc>
        <w:tc>
          <w:tcPr>
            <w:tcW w:w="1032" w:type="dxa"/>
          </w:tcPr>
          <w:p w14:paraId="0B9BC2F4" w14:textId="7B9494FD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dom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75" w:type="dxa"/>
          </w:tcPr>
          <w:p w14:paraId="7192AFBA" w14:textId="0E24A86C" w:rsidR="004058A9" w:rsidRPr="000A5525" w:rsidRDefault="00C23B33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54" w:type="dxa"/>
          </w:tcPr>
          <w:p w14:paraId="236C6F67" w14:textId="19AF4D99" w:rsidR="004058A9" w:rsidRPr="000A5525" w:rsidRDefault="000A5525" w:rsidP="004058A9">
            <w:pPr>
              <w:pStyle w:val="SM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/>
                <w:sz w:val="20"/>
                <w:szCs w:val="22"/>
              </w:rPr>
            </w:pPr>
            <w:r w:rsidRPr="000A5525">
              <w:rPr>
                <w:rFonts w:ascii="Myriad Pro" w:hAnsi="Myriad Pro"/>
                <w:b/>
                <w:sz w:val="20"/>
                <w:szCs w:val="22"/>
              </w:rPr>
              <w:t>Remarks</w:t>
            </w:r>
          </w:p>
        </w:tc>
      </w:tr>
      <w:tr w:rsidR="00BD7E74" w14:paraId="685143B8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5415FAFF" w14:textId="175082C4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1 (A)</w:t>
            </w:r>
          </w:p>
        </w:tc>
        <w:tc>
          <w:tcPr>
            <w:tcW w:w="1371" w:type="dxa"/>
          </w:tcPr>
          <w:p w14:paraId="6A4AE41F" w14:textId="1595F52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561E7125" w14:textId="1BB45B16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68E78A41" w14:textId="5F8DC25F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15AFDC72" w14:textId="1325131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16A8CC6C" w14:textId="6B039FC5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64B6F7E4" w14:textId="105A87DE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5A50C98E" w14:textId="0915D7E9" w:rsidR="004058A9" w:rsidRPr="000A5525" w:rsidRDefault="000A5525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Base parameters</w:t>
            </w:r>
          </w:p>
        </w:tc>
      </w:tr>
      <w:tr w:rsidR="000A5525" w14:paraId="4EB31DC9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109FE2B5" w14:textId="40EB1AD3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2</w:t>
            </w:r>
          </w:p>
        </w:tc>
        <w:tc>
          <w:tcPr>
            <w:tcW w:w="1371" w:type="dxa"/>
          </w:tcPr>
          <w:p w14:paraId="60C8ECB4" w14:textId="2DFDE6C2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0.075</w:t>
            </w:r>
          </w:p>
        </w:tc>
        <w:tc>
          <w:tcPr>
            <w:tcW w:w="583" w:type="dxa"/>
          </w:tcPr>
          <w:p w14:paraId="172DA303" w14:textId="1DFB1A56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4CD379F7" w14:textId="1718F2D9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67FAC455" w14:textId="4FBC3857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1A4AD549" w14:textId="3548851F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43E51448" w14:textId="3A27C3BD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4647E1ED" w14:textId="0A9EA36B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0.5×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32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05639C37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488A75F2" w14:textId="3B559619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3 (B)</w:t>
            </w:r>
          </w:p>
        </w:tc>
        <w:tc>
          <w:tcPr>
            <w:tcW w:w="1371" w:type="dxa"/>
          </w:tcPr>
          <w:p w14:paraId="02DB9B29" w14:textId="6F8B79A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0.300</w:t>
            </w:r>
          </w:p>
        </w:tc>
        <w:tc>
          <w:tcPr>
            <w:tcW w:w="583" w:type="dxa"/>
          </w:tcPr>
          <w:p w14:paraId="3DDC29FE" w14:textId="1423C5F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4243D4A9" w14:textId="285F01F0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3F422AA4" w14:textId="4AB832AE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686AA7D9" w14:textId="14E25C31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5EB61A9A" w14:textId="4AF779AD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0B277FEF" w14:textId="2ED442DA" w:rsidR="004058A9" w:rsidRPr="00410CCC" w:rsidRDefault="00410CCC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32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0A5525" w14:paraId="7D5FF0CD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596C99C9" w14:textId="04007F89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4</w:t>
            </w:r>
          </w:p>
        </w:tc>
        <w:tc>
          <w:tcPr>
            <w:tcW w:w="1371" w:type="dxa"/>
          </w:tcPr>
          <w:p w14:paraId="36548983" w14:textId="0B45F679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642C4A18" w14:textId="11780355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0.75</w:t>
            </w:r>
          </w:p>
        </w:tc>
        <w:tc>
          <w:tcPr>
            <w:tcW w:w="979" w:type="dxa"/>
          </w:tcPr>
          <w:p w14:paraId="12235CF4" w14:textId="6099B0CD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71B1B522" w14:textId="131F929F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497ED7E8" w14:textId="252F3668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222DB12E" w14:textId="1F470681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4DF2F9A4" w14:textId="0D17DA3E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0.5×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2D312020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64A5DBB6" w14:textId="150E3ECD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5 (C)</w:t>
            </w:r>
          </w:p>
        </w:tc>
        <w:tc>
          <w:tcPr>
            <w:tcW w:w="1371" w:type="dxa"/>
          </w:tcPr>
          <w:p w14:paraId="49EABD0B" w14:textId="4E1F4859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4D63265D" w14:textId="5E77225C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3.00</w:t>
            </w:r>
          </w:p>
        </w:tc>
        <w:tc>
          <w:tcPr>
            <w:tcW w:w="979" w:type="dxa"/>
          </w:tcPr>
          <w:p w14:paraId="6FC38FAE" w14:textId="6AC857A6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3C6BF482" w14:textId="3FE37963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148FE117" w14:textId="2E0E956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6EBAFC3B" w14:textId="0086D5DC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166B4B36" w14:textId="6A4F03A3" w:rsidR="004058A9" w:rsidRPr="00410CCC" w:rsidRDefault="00410CCC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0A5525" w14:paraId="6483562A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50AA265E" w14:textId="2A2DD03F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6</w:t>
            </w:r>
          </w:p>
        </w:tc>
        <w:tc>
          <w:tcPr>
            <w:tcW w:w="1371" w:type="dxa"/>
          </w:tcPr>
          <w:p w14:paraId="2A8ECD93" w14:textId="6242A111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437149AF" w14:textId="08EBAD8F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6C248AC6" w14:textId="54628E34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2.5</w:t>
            </w:r>
          </w:p>
        </w:tc>
        <w:tc>
          <w:tcPr>
            <w:tcW w:w="1004" w:type="dxa"/>
          </w:tcPr>
          <w:p w14:paraId="50ECC3B7" w14:textId="77BC4F2A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261D3200" w14:textId="6DDD113D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491400C4" w14:textId="54EB3EEE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1F6E4615" w14:textId="02FAF4A6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0.5×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min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416CA06B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1D8D6E7D" w14:textId="11A2C6DB" w:rsidR="004058A9" w:rsidRPr="000A5525" w:rsidRDefault="000C4E97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7</w:t>
            </w:r>
          </w:p>
        </w:tc>
        <w:tc>
          <w:tcPr>
            <w:tcW w:w="1371" w:type="dxa"/>
          </w:tcPr>
          <w:p w14:paraId="55D47418" w14:textId="2CF64148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5276AFE2" w14:textId="24CA044D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2E4651E9" w14:textId="101EA89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10.0</w:t>
            </w:r>
          </w:p>
        </w:tc>
        <w:tc>
          <w:tcPr>
            <w:tcW w:w="1004" w:type="dxa"/>
          </w:tcPr>
          <w:p w14:paraId="5AC12532" w14:textId="67C8FF07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3EBCC8EE" w14:textId="5A72386F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6B751D2A" w14:textId="6AEBCE77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06ECB1C6" w14:textId="5656DDC4" w:rsidR="004058A9" w:rsidRPr="00410CCC" w:rsidRDefault="00410CCC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min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0A5525" w14:paraId="1A2BAFD8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7F52F824" w14:textId="7C5DE926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8</w:t>
            </w:r>
          </w:p>
        </w:tc>
        <w:tc>
          <w:tcPr>
            <w:tcW w:w="1371" w:type="dxa"/>
          </w:tcPr>
          <w:p w14:paraId="2D068407" w14:textId="7EAD69F8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6E03B943" w14:textId="135BCF8C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1FE72C70" w14:textId="0AA0C7B9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02A08A26" w14:textId="7F6CAA91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</w:t>
            </w:r>
          </w:p>
        </w:tc>
        <w:tc>
          <w:tcPr>
            <w:tcW w:w="1032" w:type="dxa"/>
          </w:tcPr>
          <w:p w14:paraId="63E095E4" w14:textId="1AE29668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39E32D9D" w14:textId="01B0DDE4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5B59AC16" w14:textId="7A3158A5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0.5×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max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6F321CBB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1905C1DF" w14:textId="40E556F4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9</w:t>
            </w:r>
            <w:r w:rsidR="000C4E97">
              <w:rPr>
                <w:rFonts w:ascii="Myriad Pro" w:hAnsi="Myriad Pro"/>
                <w:b/>
                <w:sz w:val="20"/>
                <w:szCs w:val="22"/>
              </w:rPr>
              <w:t xml:space="preserve"> (D)</w:t>
            </w:r>
          </w:p>
        </w:tc>
        <w:tc>
          <w:tcPr>
            <w:tcW w:w="1371" w:type="dxa"/>
          </w:tcPr>
          <w:p w14:paraId="0CEB37AB" w14:textId="220FBAF1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36C362AE" w14:textId="70ACD84D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00AD7299" w14:textId="33F804FB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191212B4" w14:textId="5F1812B6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40</w:t>
            </w:r>
          </w:p>
        </w:tc>
        <w:tc>
          <w:tcPr>
            <w:tcW w:w="1032" w:type="dxa"/>
          </w:tcPr>
          <w:p w14:paraId="656442EE" w14:textId="21BFE0C7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52688B00" w14:textId="591EEC70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0FA95BC4" w14:textId="5B95265C" w:rsidR="004058A9" w:rsidRPr="00410CCC" w:rsidRDefault="00410CCC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max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0A5525" w14:paraId="6CFC1F69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70852A6A" w14:textId="2C688970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10</w:t>
            </w:r>
          </w:p>
        </w:tc>
        <w:tc>
          <w:tcPr>
            <w:tcW w:w="1371" w:type="dxa"/>
          </w:tcPr>
          <w:p w14:paraId="3FB927B5" w14:textId="3344A0B5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3D3526B1" w14:textId="13B0A6BE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3B1A2945" w14:textId="7C7403A6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75AE1527" w14:textId="301437B3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326E783F" w14:textId="0DDC8C64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50</w:t>
            </w:r>
          </w:p>
        </w:tc>
        <w:tc>
          <w:tcPr>
            <w:tcW w:w="475" w:type="dxa"/>
          </w:tcPr>
          <w:p w14:paraId="5307E51F" w14:textId="61028296" w:rsidR="004058A9" w:rsidRPr="000A5525" w:rsidRDefault="000A5525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70EDC71A" w14:textId="330E5F1E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0.5×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dom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57B98E92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1F4DFFCC" w14:textId="1AB3F40A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11</w:t>
            </w:r>
          </w:p>
        </w:tc>
        <w:tc>
          <w:tcPr>
            <w:tcW w:w="1371" w:type="dxa"/>
          </w:tcPr>
          <w:p w14:paraId="0E5B0A4E" w14:textId="5C3C8164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55A719F7" w14:textId="356B6F21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069C0B73" w14:textId="13B34FD4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2B6FF1C7" w14:textId="60CB5492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009B1F36" w14:textId="6B03D8E0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150</w:t>
            </w:r>
          </w:p>
        </w:tc>
        <w:tc>
          <w:tcPr>
            <w:tcW w:w="475" w:type="dxa"/>
          </w:tcPr>
          <w:p w14:paraId="5A090BC5" w14:textId="0DA3FFEA" w:rsidR="004058A9" w:rsidRPr="000A5525" w:rsidRDefault="000A5525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</w:t>
            </w:r>
          </w:p>
        </w:tc>
        <w:tc>
          <w:tcPr>
            <w:tcW w:w="2154" w:type="dxa"/>
          </w:tcPr>
          <w:p w14:paraId="28156467" w14:textId="16A6490A" w:rsidR="004058A9" w:rsidRPr="00410CCC" w:rsidRDefault="00410CCC" w:rsidP="00BD7E74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1.5×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dom</m:t>
                  </m:r>
                </m:sub>
              </m:sSub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0A5525" w14:paraId="2A2CC0B9" w14:textId="77777777" w:rsidTr="005B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049F5800" w14:textId="6C2E1CD4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>12</w:t>
            </w:r>
          </w:p>
        </w:tc>
        <w:tc>
          <w:tcPr>
            <w:tcW w:w="1371" w:type="dxa"/>
          </w:tcPr>
          <w:p w14:paraId="6FFFAD1F" w14:textId="4FF95B0C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3EA17626" w14:textId="0110A9D2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533E5B42" w14:textId="016623B8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1A3FC972" w14:textId="0F697883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1C1FE56B" w14:textId="1FB5FFB9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0EB10CE5" w14:textId="59558CBC" w:rsidR="004058A9" w:rsidRPr="000A5525" w:rsidRDefault="00BD7E74" w:rsidP="00BD7E74">
            <w:pPr>
              <w:pStyle w:val="SMHead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0.5</w:t>
            </w:r>
          </w:p>
        </w:tc>
        <w:tc>
          <w:tcPr>
            <w:tcW w:w="2154" w:type="dxa"/>
          </w:tcPr>
          <w:p w14:paraId="39486A8F" w14:textId="15B3F089" w:rsidR="004058A9" w:rsidRPr="00410CCC" w:rsidRDefault="00410CCC" w:rsidP="00BD7E74">
            <w:pPr>
              <w:pStyle w:val="SM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aperture∝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size</m:t>
                  </m:r>
                </m:e>
              </m:rad>
            </m:oMath>
            <w:r w:rsidR="00BD7E74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  <w:tr w:rsidR="00BD7E74" w14:paraId="083A9FE2" w14:textId="77777777" w:rsidTr="005B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11EA4BB5" w14:textId="6C93F142" w:rsidR="004058A9" w:rsidRPr="000A5525" w:rsidRDefault="000A5525" w:rsidP="004058A9">
            <w:pPr>
              <w:pStyle w:val="SMHeading"/>
              <w:rPr>
                <w:rFonts w:ascii="Myriad Pro" w:hAnsi="Myriad Pro"/>
                <w:b/>
                <w:sz w:val="20"/>
                <w:szCs w:val="22"/>
              </w:rPr>
            </w:pPr>
            <w:r>
              <w:rPr>
                <w:rFonts w:ascii="Myriad Pro" w:hAnsi="Myriad Pro"/>
                <w:b/>
                <w:sz w:val="20"/>
                <w:szCs w:val="22"/>
              </w:rPr>
              <w:t xml:space="preserve">13 </w:t>
            </w:r>
          </w:p>
        </w:tc>
        <w:tc>
          <w:tcPr>
            <w:tcW w:w="1371" w:type="dxa"/>
          </w:tcPr>
          <w:p w14:paraId="646711B4" w14:textId="69A32362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0.150</w:t>
            </w:r>
          </w:p>
        </w:tc>
        <w:tc>
          <w:tcPr>
            <w:tcW w:w="583" w:type="dxa"/>
          </w:tcPr>
          <w:p w14:paraId="611F1402" w14:textId="21BE3B5C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1.50</w:t>
            </w:r>
          </w:p>
        </w:tc>
        <w:tc>
          <w:tcPr>
            <w:tcW w:w="979" w:type="dxa"/>
          </w:tcPr>
          <w:p w14:paraId="004F86F8" w14:textId="0FE09843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5.0</w:t>
            </w:r>
          </w:p>
        </w:tc>
        <w:tc>
          <w:tcPr>
            <w:tcW w:w="1004" w:type="dxa"/>
          </w:tcPr>
          <w:p w14:paraId="05F97D56" w14:textId="04848826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20</w:t>
            </w:r>
          </w:p>
        </w:tc>
        <w:tc>
          <w:tcPr>
            <w:tcW w:w="1032" w:type="dxa"/>
          </w:tcPr>
          <w:p w14:paraId="4F4A0A49" w14:textId="43AA2A82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100</w:t>
            </w:r>
          </w:p>
        </w:tc>
        <w:tc>
          <w:tcPr>
            <w:tcW w:w="475" w:type="dxa"/>
          </w:tcPr>
          <w:p w14:paraId="667963A7" w14:textId="722D82E8" w:rsidR="004058A9" w:rsidRPr="000A5525" w:rsidRDefault="00BD7E74" w:rsidP="00BD7E74">
            <w:pPr>
              <w:pStyle w:val="SMHead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w:r>
              <w:rPr>
                <w:rFonts w:ascii="Myriad Pro" w:hAnsi="Myriad Pro"/>
                <w:b w:val="0"/>
                <w:sz w:val="20"/>
                <w:szCs w:val="22"/>
              </w:rPr>
              <w:t>2</w:t>
            </w:r>
          </w:p>
        </w:tc>
        <w:tc>
          <w:tcPr>
            <w:tcW w:w="2154" w:type="dxa"/>
          </w:tcPr>
          <w:p w14:paraId="59F0DC27" w14:textId="7D6C16E1" w:rsidR="004058A9" w:rsidRPr="00410CCC" w:rsidRDefault="00410CCC" w:rsidP="004058A9">
            <w:pPr>
              <w:pStyle w:val="SM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 w:val="0"/>
                <w:sz w:val="20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aperture∝siz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oMath>
            <w:r w:rsidR="00D968DB" w:rsidRPr="00410CCC">
              <w:rPr>
                <w:rFonts w:ascii="Myriad Pro" w:hAnsi="Myriad Pro"/>
                <w:b w:val="0"/>
                <w:sz w:val="20"/>
                <w:szCs w:val="22"/>
              </w:rPr>
              <w:t xml:space="preserve"> </w:t>
            </w:r>
          </w:p>
        </w:tc>
      </w:tr>
    </w:tbl>
    <w:p w14:paraId="1023CCDF" w14:textId="793FEDC5" w:rsidR="004058A9" w:rsidRPr="005314B5" w:rsidRDefault="000C4E97" w:rsidP="004058A9">
      <w:pPr>
        <w:pStyle w:val="SMHeading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b w:val="0"/>
          <w:sz w:val="22"/>
          <w:szCs w:val="22"/>
        </w:rPr>
        <w:t>*Cases 1, 3, 5 and 9</w:t>
      </w:r>
      <w:r w:rsidR="00BD7E74">
        <w:rPr>
          <w:rFonts w:ascii="Myriad Pro" w:hAnsi="Myriad Pro"/>
          <w:b w:val="0"/>
          <w:sz w:val="22"/>
          <w:szCs w:val="22"/>
        </w:rPr>
        <w:t xml:space="preserve"> correspond to Cases A, B, C and D in the paper.</w:t>
      </w:r>
      <w:r w:rsidR="00556334">
        <w:rPr>
          <w:rFonts w:ascii="Myriad Pro" w:hAnsi="Myriad Pro"/>
          <w:b w:val="0"/>
          <w:sz w:val="22"/>
          <w:szCs w:val="22"/>
        </w:rPr>
        <w:t xml:space="preserve"> See Text S1 for </w:t>
      </w:r>
      <w:bookmarkStart w:id="0" w:name="_GoBack"/>
      <w:bookmarkEnd w:id="0"/>
      <w:r w:rsidR="00556334">
        <w:rPr>
          <w:rFonts w:ascii="Myriad Pro" w:hAnsi="Myriad Pro"/>
          <w:b w:val="0"/>
          <w:sz w:val="22"/>
          <w:szCs w:val="22"/>
        </w:rPr>
        <w:t>definition of terms.</w:t>
      </w:r>
    </w:p>
    <w:p w14:paraId="4877505E" w14:textId="77777777" w:rsidR="004058A9" w:rsidRPr="005314B5" w:rsidRDefault="004058A9" w:rsidP="004058A9">
      <w:pPr>
        <w:pStyle w:val="SMcaption"/>
        <w:rPr>
          <w:rFonts w:ascii="Myriad Pro" w:hAnsi="Myriad Pro"/>
          <w:sz w:val="22"/>
          <w:szCs w:val="22"/>
        </w:rPr>
      </w:pPr>
    </w:p>
    <w:p w14:paraId="32CE9E2D" w14:textId="7E0DD327" w:rsidR="003E1980" w:rsidRDefault="003E1980" w:rsidP="009A5287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14:paraId="736A8690" w14:textId="77777777" w:rsidR="00BD7E74" w:rsidRDefault="00BD7E74" w:rsidP="009A5287">
      <w:pPr>
        <w:pStyle w:val="SMcaption"/>
        <w:rPr>
          <w:rFonts w:ascii="Myriad Pro" w:hAnsi="Myriad Pro"/>
        </w:rPr>
      </w:pPr>
    </w:p>
    <w:p w14:paraId="519D0709" w14:textId="77777777" w:rsidR="004058A9" w:rsidRPr="00CE6EAA" w:rsidRDefault="004058A9" w:rsidP="009A5287">
      <w:pPr>
        <w:pStyle w:val="SMcaption"/>
        <w:rPr>
          <w:rFonts w:ascii="Myriad Pro" w:hAnsi="Myriad Pro"/>
        </w:rPr>
      </w:pPr>
    </w:p>
    <w:p w14:paraId="727D470D" w14:textId="77777777" w:rsidR="00CC05F0" w:rsidRPr="00015F74" w:rsidRDefault="00CC05F0" w:rsidP="00B9440A">
      <w:pPr>
        <w:pStyle w:val="SMcaption"/>
      </w:pPr>
    </w:p>
    <w:sectPr w:rsidR="00CC05F0" w:rsidRPr="00015F74" w:rsidSect="00F12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64F0B" w14:textId="77777777" w:rsidR="00C23B33" w:rsidRDefault="00C23B33">
      <w:r>
        <w:separator/>
      </w:r>
    </w:p>
  </w:endnote>
  <w:endnote w:type="continuationSeparator" w:id="0">
    <w:p w14:paraId="31CBF6A7" w14:textId="77777777" w:rsidR="00C23B33" w:rsidRDefault="00C2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2ECF" w14:textId="77777777" w:rsidR="00C23B33" w:rsidRDefault="00C23B33">
      <w:r>
        <w:separator/>
      </w:r>
    </w:p>
  </w:footnote>
  <w:footnote w:type="continuationSeparator" w:id="0">
    <w:p w14:paraId="25133747" w14:textId="77777777" w:rsidR="00C23B33" w:rsidRDefault="00C2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E4D9B"/>
    <w:multiLevelType w:val="hybridMultilevel"/>
    <w:tmpl w:val="E80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D65BF"/>
    <w:multiLevelType w:val="hybridMultilevel"/>
    <w:tmpl w:val="14CA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F0060"/>
    <w:multiLevelType w:val="hybridMultilevel"/>
    <w:tmpl w:val="3640B6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722A7"/>
    <w:rsid w:val="00083B44"/>
    <w:rsid w:val="000850DC"/>
    <w:rsid w:val="00094365"/>
    <w:rsid w:val="000A5525"/>
    <w:rsid w:val="000B2E64"/>
    <w:rsid w:val="000C2771"/>
    <w:rsid w:val="000C4E97"/>
    <w:rsid w:val="000D239F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42F9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8559D"/>
    <w:rsid w:val="00294B44"/>
    <w:rsid w:val="002B35D4"/>
    <w:rsid w:val="002B67E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058A9"/>
    <w:rsid w:val="00410CCC"/>
    <w:rsid w:val="0044209C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4D0B"/>
    <w:rsid w:val="004F7EDF"/>
    <w:rsid w:val="005001AC"/>
    <w:rsid w:val="00517016"/>
    <w:rsid w:val="00527D71"/>
    <w:rsid w:val="00527D84"/>
    <w:rsid w:val="005314B5"/>
    <w:rsid w:val="0054432F"/>
    <w:rsid w:val="00552C23"/>
    <w:rsid w:val="00556334"/>
    <w:rsid w:val="005607DD"/>
    <w:rsid w:val="00572DFF"/>
    <w:rsid w:val="005A558C"/>
    <w:rsid w:val="005B186E"/>
    <w:rsid w:val="005B1AD0"/>
    <w:rsid w:val="005C6651"/>
    <w:rsid w:val="005D6D71"/>
    <w:rsid w:val="005E28F8"/>
    <w:rsid w:val="005E6513"/>
    <w:rsid w:val="00611F9E"/>
    <w:rsid w:val="006237D4"/>
    <w:rsid w:val="00627D3E"/>
    <w:rsid w:val="00651114"/>
    <w:rsid w:val="006622CF"/>
    <w:rsid w:val="00664A12"/>
    <w:rsid w:val="0066722B"/>
    <w:rsid w:val="00670299"/>
    <w:rsid w:val="006826A3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73A3"/>
    <w:rsid w:val="00807D35"/>
    <w:rsid w:val="008115D9"/>
    <w:rsid w:val="00825950"/>
    <w:rsid w:val="00870F55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25CE0"/>
    <w:rsid w:val="00932A1E"/>
    <w:rsid w:val="00932FE5"/>
    <w:rsid w:val="009354F3"/>
    <w:rsid w:val="009447DC"/>
    <w:rsid w:val="00961BA5"/>
    <w:rsid w:val="0097397D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460A3"/>
    <w:rsid w:val="00A50033"/>
    <w:rsid w:val="00A51A12"/>
    <w:rsid w:val="00A627D4"/>
    <w:rsid w:val="00A74DA2"/>
    <w:rsid w:val="00A92733"/>
    <w:rsid w:val="00AA76F3"/>
    <w:rsid w:val="00AB686C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D7E74"/>
    <w:rsid w:val="00BF1BEB"/>
    <w:rsid w:val="00BF1BF9"/>
    <w:rsid w:val="00C04CC1"/>
    <w:rsid w:val="00C071FC"/>
    <w:rsid w:val="00C22C02"/>
    <w:rsid w:val="00C23B33"/>
    <w:rsid w:val="00C27F6F"/>
    <w:rsid w:val="00C30E83"/>
    <w:rsid w:val="00C50C6D"/>
    <w:rsid w:val="00C600D9"/>
    <w:rsid w:val="00C634D7"/>
    <w:rsid w:val="00C73E09"/>
    <w:rsid w:val="00CC05F0"/>
    <w:rsid w:val="00CC1384"/>
    <w:rsid w:val="00CD3720"/>
    <w:rsid w:val="00CE36A9"/>
    <w:rsid w:val="00CE6EAA"/>
    <w:rsid w:val="00CF1848"/>
    <w:rsid w:val="00CF5C2F"/>
    <w:rsid w:val="00D04BCF"/>
    <w:rsid w:val="00D10134"/>
    <w:rsid w:val="00D143D9"/>
    <w:rsid w:val="00D4372A"/>
    <w:rsid w:val="00D452FE"/>
    <w:rsid w:val="00D60BB0"/>
    <w:rsid w:val="00D65708"/>
    <w:rsid w:val="00D8159F"/>
    <w:rsid w:val="00D968DB"/>
    <w:rsid w:val="00DB6914"/>
    <w:rsid w:val="00DD1D04"/>
    <w:rsid w:val="00DD79D7"/>
    <w:rsid w:val="00DE67A9"/>
    <w:rsid w:val="00E20431"/>
    <w:rsid w:val="00E257C8"/>
    <w:rsid w:val="00E40896"/>
    <w:rsid w:val="00E43D2D"/>
    <w:rsid w:val="00E449CB"/>
    <w:rsid w:val="00E63760"/>
    <w:rsid w:val="00E64049"/>
    <w:rsid w:val="00E8481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A51A8"/>
    <w:rsid w:val="00FB1C42"/>
    <w:rsid w:val="00FB32EC"/>
    <w:rsid w:val="00FD50CE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4:defaultImageDpi w14:val="3276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table" w:styleId="TableGrid">
    <w:name w:val="Table Grid"/>
    <w:basedOn w:val="TableNormal"/>
    <w:rsid w:val="0040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058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058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05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2DE5-457C-49E9-BEC0-9DAE74D0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Daniel Wong</cp:lastModifiedBy>
  <cp:revision>14</cp:revision>
  <cp:lastPrinted>2014-09-30T16:49:00Z</cp:lastPrinted>
  <dcterms:created xsi:type="dcterms:W3CDTF">2018-10-09T10:20:00Z</dcterms:created>
  <dcterms:modified xsi:type="dcterms:W3CDTF">2019-01-10T10:57:00Z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http://csl.mendeley.com/styles/467040811/apa</vt:lpwstr>
  </property>
  <property fmtid="{D5CDD505-2E9C-101B-9397-08002B2CF9AE}" pid="7" name="Mendeley Recent Style Name 2_1">
    <vt:lpwstr>American Psychological Association 6th edition - Daniel Lorng Yon Wong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