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w:t>
      </w:r>
      <w:proofErr w:type="spellStart"/>
      <w:r w:rsidR="002E7F14" w:rsidRPr="002E7F14">
        <w:rPr>
          <w:rFonts w:eastAsia="Times New Roman" w:cs="Times New Roman"/>
          <w:color w:val="7030A0"/>
          <w:sz w:val="20"/>
          <w:szCs w:val="20"/>
          <w:lang w:eastAsia="en-GB"/>
        </w:rPr>
        <w:t>coreflood</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micromodels</w:t>
      </w:r>
      <w:proofErr w:type="spellEnd"/>
      <w:r w:rsidR="002E7F14" w:rsidRPr="002E7F14">
        <w:rPr>
          <w:rFonts w:eastAsia="Times New Roman" w:cs="Times New Roman"/>
          <w:color w:val="7030A0"/>
          <w:sz w:val="20"/>
          <w:szCs w:val="20"/>
          <w:lang w:eastAsia="en-GB"/>
        </w:rPr>
        <w:t xml:space="preserve">) studied by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(see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sidRPr="002E7F14">
        <w:rPr>
          <w:rFonts w:eastAsia="Times New Roman" w:cs="Times New Roman"/>
          <w:color w:val="7030A0"/>
          <w:sz w:val="20"/>
          <w:szCs w:val="20"/>
          <w:lang w:eastAsia="en-GB"/>
        </w:rPr>
        <w:t>,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nov</w:t>
      </w:r>
      <w:r>
        <w:rPr>
          <w:rFonts w:eastAsia="Times New Roman" w:cs="Times New Roman"/>
          <w:color w:val="7030A0"/>
          <w:sz w:val="20"/>
          <w:szCs w:val="20"/>
          <w:lang w:eastAsia="en-GB"/>
        </w:rPr>
        <w:t>el 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materials. A control-volume dis</w:t>
      </w:r>
      <w:r w:rsidRPr="007A7E67">
        <w:rPr>
          <w:rFonts w:eastAsia="Times New Roman" w:cs="Times New Roman"/>
          <w:color w:val="7030A0"/>
          <w:sz w:val="20"/>
          <w:szCs w:val="20"/>
          <w:lang w:eastAsia="en-GB"/>
        </w:rPr>
        <w:t>tributed (CVD) scheme coupled with mixed FEM (MFEM)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Edward (2006), where flow and rock variables are discretised in CV space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whereas pressure and velocity are solved in FEM space. CVD flux-limiting</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scheme was coupled with high-order convection scheme to reduce anisotropic</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diffusion in flows through semi-impervious barrier (i.e., a region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very low permeability</w:t>
      </w:r>
      <w:r w:rsidR="003331C4">
        <w:rPr>
          <w:rFonts w:eastAsia="Times New Roman" w:cs="Times New Roman"/>
          <w:color w:val="7030A0"/>
          <w:sz w:val="20"/>
          <w:szCs w:val="20"/>
          <w:lang w:eastAsia="en-GB"/>
        </w:rPr>
        <w:t>, see also Salinas et al., 2018, that solved this particular numerical diffusion problem with the same model used here, originally proposed by Edwards (2006)</w:t>
      </w:r>
      <w:r w:rsidRPr="007A7E67">
        <w:rPr>
          <w:rFonts w:eastAsia="Times New Roman" w:cs="Times New Roman"/>
          <w:color w:val="7030A0"/>
          <w:sz w:val="20"/>
          <w:szCs w:val="20"/>
          <w:lang w:eastAsia="en-GB"/>
        </w:rPr>
        <w:t>).</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6735"/>
    <w:rsid w:val="001F38B3"/>
    <w:rsid w:val="00212676"/>
    <w:rsid w:val="00235FA3"/>
    <w:rsid w:val="00252318"/>
    <w:rsid w:val="002859A3"/>
    <w:rsid w:val="00287F51"/>
    <w:rsid w:val="002E7F14"/>
    <w:rsid w:val="00311DE2"/>
    <w:rsid w:val="003331C4"/>
    <w:rsid w:val="00335F01"/>
    <w:rsid w:val="00351BD6"/>
    <w:rsid w:val="00353AB2"/>
    <w:rsid w:val="0038514B"/>
    <w:rsid w:val="003B1E2E"/>
    <w:rsid w:val="003C183A"/>
    <w:rsid w:val="004479E7"/>
    <w:rsid w:val="00451895"/>
    <w:rsid w:val="00495A66"/>
    <w:rsid w:val="004C7BE6"/>
    <w:rsid w:val="004D132C"/>
    <w:rsid w:val="004D1F8A"/>
    <w:rsid w:val="004F0369"/>
    <w:rsid w:val="005757A6"/>
    <w:rsid w:val="00576C0D"/>
    <w:rsid w:val="00581502"/>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33AE"/>
    <w:rsid w:val="007E1D4F"/>
    <w:rsid w:val="007E4DD7"/>
    <w:rsid w:val="007E5B8D"/>
    <w:rsid w:val="00816396"/>
    <w:rsid w:val="0083055D"/>
    <w:rsid w:val="00834AF4"/>
    <w:rsid w:val="00857A5B"/>
    <w:rsid w:val="00863033"/>
    <w:rsid w:val="00882DDB"/>
    <w:rsid w:val="008A14E2"/>
    <w:rsid w:val="008A4A51"/>
    <w:rsid w:val="008B64F3"/>
    <w:rsid w:val="0090380F"/>
    <w:rsid w:val="00906490"/>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E4DF7"/>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11475</TotalTime>
  <Pages>15</Pages>
  <Words>9747</Words>
  <Characters>55558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58</cp:revision>
  <cp:lastPrinted>2018-07-16T16:33:00Z</cp:lastPrinted>
  <dcterms:created xsi:type="dcterms:W3CDTF">2018-07-02T12:35:00Z</dcterms:created>
  <dcterms:modified xsi:type="dcterms:W3CDTF">2018-07-17T10:21:00Z</dcterms:modified>
  <dc:language>en-GB</dc:language>
</cp:coreProperties>
</file>