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F236D">
      <w:pPr>
        <w:spacing w:line="300" w:lineRule="auto"/>
        <w:jc w:val="center"/>
        <w:rPr>
          <w:rFonts w:eastAsia="宋体"/>
          <w:b/>
          <w:sz w:val="36"/>
          <w:lang w:eastAsia="zh-CN"/>
        </w:rPr>
      </w:pPr>
      <w:r>
        <w:rPr>
          <w:rFonts w:hint="eastAsia" w:eastAsia="宋体"/>
          <w:b/>
          <w:sz w:val="36"/>
          <w:lang w:eastAsia="zh-CN"/>
        </w:rPr>
        <w:t>专利技术交底书</w:t>
      </w:r>
    </w:p>
    <w:p w14:paraId="4B5B9B15">
      <w:pPr>
        <w:ind w:firstLine="361" w:firstLineChars="200"/>
        <w:rPr>
          <w:rFonts w:eastAsia="宋体"/>
          <w:b/>
          <w:bCs/>
          <w:color w:val="FF0000"/>
          <w:sz w:val="18"/>
          <w:szCs w:val="13"/>
          <w:lang w:eastAsia="zh-CN"/>
        </w:rPr>
      </w:pPr>
      <w:r>
        <w:rPr>
          <w:rFonts w:eastAsia="宋体"/>
          <w:b/>
          <w:bCs/>
          <w:color w:val="FF0000"/>
          <w:sz w:val="18"/>
          <w:szCs w:val="13"/>
          <w:lang w:eastAsia="zh-CN"/>
        </w:rPr>
        <w:t xml:space="preserve">[撰写提示] </w:t>
      </w:r>
    </w:p>
    <w:p w14:paraId="00C9F215">
      <w:pPr>
        <w:ind w:firstLine="360" w:firstLineChars="200"/>
        <w:rPr>
          <w:rFonts w:eastAsia="宋体"/>
          <w:sz w:val="18"/>
          <w:szCs w:val="13"/>
          <w:lang w:eastAsia="zh-CN"/>
        </w:rPr>
      </w:pPr>
      <w:r>
        <w:rPr>
          <w:rFonts w:eastAsia="宋体"/>
          <w:sz w:val="18"/>
          <w:szCs w:val="13"/>
          <w:lang w:eastAsia="zh-CN"/>
        </w:rPr>
        <w:t>技术交底书，是向专利代理师提供发明技术的重要文件。为了让专利代理师更好地理解我们的发明技术，提高专利代理师撰写专利申请文件的质量和效率，需要</w:t>
      </w:r>
      <w:r>
        <w:rPr>
          <w:rFonts w:eastAsia="宋体"/>
          <w:b/>
          <w:bCs/>
          <w:sz w:val="18"/>
          <w:szCs w:val="13"/>
          <w:lang w:eastAsia="zh-CN"/>
        </w:rPr>
        <w:t>准确</w:t>
      </w:r>
      <w:r>
        <w:rPr>
          <w:rFonts w:hint="eastAsia" w:eastAsia="宋体"/>
          <w:sz w:val="18"/>
          <w:szCs w:val="13"/>
          <w:lang w:eastAsia="zh-CN"/>
        </w:rPr>
        <w:t>、</w:t>
      </w:r>
      <w:r>
        <w:rPr>
          <w:rFonts w:eastAsia="宋体"/>
          <w:b/>
          <w:bCs/>
          <w:sz w:val="18"/>
          <w:szCs w:val="13"/>
          <w:lang w:eastAsia="zh-CN"/>
        </w:rPr>
        <w:t>全面、清晰、完整</w:t>
      </w:r>
      <w:r>
        <w:rPr>
          <w:rFonts w:eastAsia="宋体"/>
          <w:sz w:val="18"/>
          <w:szCs w:val="13"/>
          <w:lang w:eastAsia="zh-CN"/>
        </w:rPr>
        <w:t>地</w:t>
      </w:r>
      <w:r>
        <w:rPr>
          <w:rFonts w:hint="eastAsia" w:eastAsia="宋体"/>
          <w:sz w:val="18"/>
          <w:szCs w:val="13"/>
          <w:lang w:eastAsia="zh-CN"/>
        </w:rPr>
        <w:t>填写表格中的信息</w:t>
      </w:r>
      <w:r>
        <w:rPr>
          <w:rFonts w:eastAsia="宋体"/>
          <w:sz w:val="18"/>
          <w:szCs w:val="13"/>
          <w:lang w:eastAsia="zh-CN"/>
        </w:rPr>
        <w:t>。</w:t>
      </w:r>
    </w:p>
    <w:p w14:paraId="2A629CFB">
      <w:pPr>
        <w:ind w:firstLine="360" w:firstLineChars="200"/>
        <w:rPr>
          <w:rFonts w:eastAsia="宋体"/>
          <w:sz w:val="18"/>
          <w:szCs w:val="13"/>
          <w:lang w:eastAsia="zh-CN"/>
        </w:rPr>
      </w:pPr>
      <w:r>
        <w:rPr>
          <w:rFonts w:hint="eastAsia" w:eastAsia="宋体"/>
          <w:sz w:val="18"/>
          <w:szCs w:val="13"/>
          <w:lang w:eastAsia="zh-CN"/>
        </w:rPr>
        <w:t>交底书模板中的示例仅做参考，技术方案的表达形式可以自由安排。</w:t>
      </w:r>
    </w:p>
    <w:p w14:paraId="65343044">
      <w:pPr>
        <w:ind w:firstLine="360" w:firstLineChars="200"/>
        <w:rPr>
          <w:sz w:val="18"/>
          <w:szCs w:val="13"/>
          <w:lang w:eastAsia="zh-CN"/>
        </w:rPr>
      </w:pPr>
    </w:p>
    <w:tbl>
      <w:tblPr>
        <w:tblStyle w:val="10"/>
        <w:tblW w:w="8522"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3106"/>
        <w:gridCol w:w="1350"/>
        <w:gridCol w:w="2890"/>
      </w:tblGrid>
      <w:tr w14:paraId="3C5E5B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c>
          <w:tcPr>
            <w:tcW w:w="8522" w:type="dxa"/>
            <w:gridSpan w:val="4"/>
            <w:tcBorders>
              <w:tl2br w:val="nil"/>
              <w:tr2bl w:val="nil"/>
            </w:tcBorders>
            <w:shd w:val="clear" w:color="auto" w:fill="E7E6E6" w:themeFill="background2"/>
          </w:tcPr>
          <w:p w14:paraId="51BA4E20">
            <w:pPr>
              <w:spacing w:line="300" w:lineRule="auto"/>
              <w:jc w:val="center"/>
              <w:rPr>
                <w:rFonts w:eastAsia="宋体"/>
                <w:sz w:val="18"/>
                <w:szCs w:val="18"/>
                <w:lang w:eastAsia="zh-CN"/>
              </w:rPr>
            </w:pPr>
            <w:r>
              <w:rPr>
                <w:rFonts w:hint="eastAsia" w:eastAsia="宋体"/>
                <w:b/>
                <w:bCs/>
                <w:sz w:val="18"/>
                <w:szCs w:val="18"/>
                <w:lang w:eastAsia="zh-CN"/>
              </w:rPr>
              <w:t>联系人</w:t>
            </w:r>
            <w:r>
              <w:rPr>
                <w:rFonts w:eastAsia="宋体"/>
                <w:b/>
                <w:bCs/>
                <w:sz w:val="18"/>
                <w:szCs w:val="18"/>
                <w:lang w:eastAsia="zh-CN"/>
              </w:rPr>
              <w:t>信息</w:t>
            </w:r>
          </w:p>
        </w:tc>
      </w:tr>
      <w:tr w14:paraId="18F3DC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6" w:type="dxa"/>
            <w:tcBorders>
              <w:tl2br w:val="nil"/>
              <w:tr2bl w:val="nil"/>
            </w:tcBorders>
          </w:tcPr>
          <w:p w14:paraId="604DCDD1">
            <w:pPr>
              <w:spacing w:line="300" w:lineRule="auto"/>
              <w:jc w:val="center"/>
              <w:rPr>
                <w:rFonts w:eastAsia="宋体"/>
                <w:b/>
                <w:bCs/>
                <w:sz w:val="18"/>
                <w:szCs w:val="18"/>
                <w:lang w:eastAsia="zh-CN"/>
              </w:rPr>
            </w:pPr>
            <w:r>
              <w:rPr>
                <w:rFonts w:hint="eastAsia" w:eastAsia="宋体"/>
                <w:b/>
                <w:bCs/>
                <w:sz w:val="18"/>
                <w:szCs w:val="18"/>
                <w:lang w:eastAsia="zh-CN"/>
              </w:rPr>
              <w:t>技术联系人</w:t>
            </w:r>
          </w:p>
        </w:tc>
        <w:tc>
          <w:tcPr>
            <w:tcW w:w="3106" w:type="dxa"/>
            <w:tcBorders>
              <w:tl2br w:val="nil"/>
              <w:tr2bl w:val="nil"/>
            </w:tcBorders>
          </w:tcPr>
          <w:p w14:paraId="0CCD5CE9">
            <w:pPr>
              <w:spacing w:line="300" w:lineRule="auto"/>
              <w:jc w:val="both"/>
              <w:rPr>
                <w:rFonts w:asciiTheme="minorEastAsia" w:hAnsiTheme="minorEastAsia" w:eastAsiaTheme="minorEastAsia"/>
                <w:sz w:val="18"/>
                <w:szCs w:val="18"/>
                <w:lang w:eastAsia="zh-CN"/>
              </w:rPr>
            </w:pPr>
            <w:r>
              <w:rPr>
                <w:rFonts w:hint="eastAsia" w:asciiTheme="minorEastAsia" w:hAnsiTheme="minorEastAsia" w:eastAsiaTheme="minorEastAsia"/>
                <w:sz w:val="20"/>
                <w:lang w:eastAsia="zh-CN"/>
              </w:rPr>
              <w:t>莫磊</w:t>
            </w:r>
          </w:p>
        </w:tc>
        <w:tc>
          <w:tcPr>
            <w:tcW w:w="1350" w:type="dxa"/>
            <w:tcBorders>
              <w:tl2br w:val="nil"/>
              <w:tr2bl w:val="nil"/>
            </w:tcBorders>
          </w:tcPr>
          <w:p w14:paraId="5F418DFE">
            <w:pPr>
              <w:spacing w:line="300" w:lineRule="auto"/>
              <w:jc w:val="center"/>
              <w:rPr>
                <w:rFonts w:eastAsia="宋体"/>
                <w:b/>
                <w:bCs/>
                <w:sz w:val="18"/>
                <w:szCs w:val="18"/>
                <w:lang w:eastAsia="zh-CN"/>
              </w:rPr>
            </w:pPr>
            <w:r>
              <w:rPr>
                <w:rFonts w:eastAsia="宋体"/>
                <w:b/>
                <w:bCs/>
                <w:sz w:val="18"/>
                <w:szCs w:val="18"/>
                <w:lang w:eastAsia="zh-CN"/>
              </w:rPr>
              <w:t>联系电话</w:t>
            </w:r>
          </w:p>
        </w:tc>
        <w:tc>
          <w:tcPr>
            <w:tcW w:w="2890" w:type="dxa"/>
            <w:tcBorders>
              <w:tl2br w:val="nil"/>
              <w:tr2bl w:val="nil"/>
            </w:tcBorders>
          </w:tcPr>
          <w:p w14:paraId="5ED5E9B1">
            <w:pPr>
              <w:spacing w:line="300" w:lineRule="auto"/>
              <w:jc w:val="both"/>
              <w:rPr>
                <w:rFonts w:eastAsia="宋体"/>
                <w:sz w:val="18"/>
                <w:szCs w:val="18"/>
                <w:lang w:eastAsia="zh-CN"/>
              </w:rPr>
            </w:pPr>
            <w:r>
              <w:rPr>
                <w:rFonts w:hint="eastAsia"/>
                <w:sz w:val="20"/>
                <w:lang w:eastAsia="zh-CN"/>
              </w:rPr>
              <w:t>1</w:t>
            </w:r>
            <w:r>
              <w:rPr>
                <w:sz w:val="20"/>
                <w:lang w:eastAsia="zh-CN"/>
              </w:rPr>
              <w:t>5012561915</w:t>
            </w:r>
          </w:p>
        </w:tc>
      </w:tr>
      <w:tr w14:paraId="1AF8551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6" w:type="dxa"/>
            <w:tcBorders>
              <w:tl2br w:val="nil"/>
              <w:tr2bl w:val="nil"/>
            </w:tcBorders>
          </w:tcPr>
          <w:p w14:paraId="40D16720">
            <w:pPr>
              <w:spacing w:line="300" w:lineRule="auto"/>
              <w:jc w:val="center"/>
              <w:rPr>
                <w:rFonts w:eastAsia="宋体"/>
                <w:b/>
                <w:bCs/>
                <w:sz w:val="18"/>
                <w:szCs w:val="18"/>
                <w:lang w:eastAsia="zh-CN"/>
              </w:rPr>
            </w:pPr>
            <w:r>
              <w:rPr>
                <w:rFonts w:hint="eastAsia" w:eastAsia="宋体"/>
                <w:b/>
                <w:bCs/>
                <w:sz w:val="18"/>
                <w:szCs w:val="18"/>
                <w:lang w:eastAsia="zh-CN"/>
              </w:rPr>
              <w:t>归属部门</w:t>
            </w:r>
          </w:p>
        </w:tc>
        <w:tc>
          <w:tcPr>
            <w:tcW w:w="3106" w:type="dxa"/>
            <w:tcBorders>
              <w:tl2br w:val="nil"/>
              <w:tr2bl w:val="nil"/>
            </w:tcBorders>
          </w:tcPr>
          <w:p w14:paraId="48EFFD2E">
            <w:pPr>
              <w:spacing w:line="300" w:lineRule="auto"/>
              <w:jc w:val="both"/>
              <w:rPr>
                <w:rFonts w:eastAsia="宋体"/>
                <w:sz w:val="18"/>
                <w:szCs w:val="18"/>
                <w:lang w:eastAsia="zh-CN"/>
              </w:rPr>
            </w:pPr>
            <w:r>
              <w:rPr>
                <w:rFonts w:eastAsia="宋体"/>
                <w:sz w:val="18"/>
                <w:szCs w:val="18"/>
                <w:lang w:eastAsia="zh-CN"/>
              </w:rPr>
              <w:t>顺丰科技技术集团/大数据平台研发中心/AI技术平台组</w:t>
            </w:r>
          </w:p>
        </w:tc>
        <w:tc>
          <w:tcPr>
            <w:tcW w:w="1350" w:type="dxa"/>
            <w:tcBorders>
              <w:tl2br w:val="nil"/>
              <w:tr2bl w:val="nil"/>
            </w:tcBorders>
          </w:tcPr>
          <w:p w14:paraId="15F755AC">
            <w:pPr>
              <w:spacing w:line="300" w:lineRule="auto"/>
              <w:jc w:val="center"/>
              <w:rPr>
                <w:rFonts w:eastAsia="宋体"/>
                <w:b/>
                <w:bCs/>
                <w:sz w:val="18"/>
                <w:szCs w:val="18"/>
                <w:lang w:eastAsia="zh-CN"/>
              </w:rPr>
            </w:pPr>
            <w:r>
              <w:rPr>
                <w:rFonts w:hint="eastAsia" w:eastAsia="宋体"/>
                <w:b/>
                <w:bCs/>
                <w:sz w:val="18"/>
                <w:szCs w:val="18"/>
                <w:lang w:eastAsia="zh-CN"/>
              </w:rPr>
              <w:t>电子邮箱</w:t>
            </w:r>
          </w:p>
        </w:tc>
        <w:tc>
          <w:tcPr>
            <w:tcW w:w="2890" w:type="dxa"/>
            <w:tcBorders>
              <w:tl2br w:val="nil"/>
              <w:tr2bl w:val="nil"/>
            </w:tcBorders>
          </w:tcPr>
          <w:p w14:paraId="1765BD48">
            <w:pPr>
              <w:spacing w:line="300" w:lineRule="auto"/>
              <w:jc w:val="both"/>
              <w:rPr>
                <w:rFonts w:eastAsia="宋体"/>
                <w:sz w:val="18"/>
                <w:szCs w:val="18"/>
                <w:lang w:eastAsia="zh-CN"/>
              </w:rPr>
            </w:pPr>
            <w:r>
              <w:rPr>
                <w:rFonts w:hint="eastAsia"/>
                <w:sz w:val="20"/>
                <w:lang w:eastAsia="zh-CN"/>
              </w:rPr>
              <w:t>l</w:t>
            </w:r>
            <w:r>
              <w:rPr>
                <w:sz w:val="20"/>
                <w:lang w:eastAsia="zh-CN"/>
              </w:rPr>
              <w:t>eimo@sf-express.com</w:t>
            </w:r>
          </w:p>
        </w:tc>
      </w:tr>
    </w:tbl>
    <w:p w14:paraId="55B8B9DB">
      <w:pPr>
        <w:ind w:firstLine="360" w:firstLineChars="200"/>
        <w:rPr>
          <w:sz w:val="18"/>
          <w:szCs w:val="13"/>
          <w:lang w:eastAsia="zh-CN"/>
        </w:rPr>
      </w:pPr>
    </w:p>
    <w:tbl>
      <w:tblPr>
        <w:tblStyle w:val="10"/>
        <w:tblW w:w="8522"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72"/>
        <w:gridCol w:w="7350"/>
      </w:tblGrid>
      <w:tr w14:paraId="41842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c>
          <w:tcPr>
            <w:tcW w:w="8522" w:type="dxa"/>
            <w:gridSpan w:val="2"/>
            <w:tcBorders>
              <w:tl2br w:val="nil"/>
              <w:tr2bl w:val="nil"/>
            </w:tcBorders>
            <w:shd w:val="clear" w:color="auto" w:fill="E7E6E6" w:themeFill="background2"/>
          </w:tcPr>
          <w:p w14:paraId="41462454">
            <w:pPr>
              <w:spacing w:line="300" w:lineRule="auto"/>
              <w:jc w:val="center"/>
              <w:rPr>
                <w:rFonts w:eastAsia="宋体"/>
                <w:b/>
                <w:bCs/>
                <w:sz w:val="18"/>
                <w:szCs w:val="18"/>
              </w:rPr>
            </w:pPr>
            <w:r>
              <w:rPr>
                <w:rFonts w:hint="eastAsia" w:eastAsia="宋体"/>
                <w:b/>
                <w:bCs/>
                <w:sz w:val="18"/>
                <w:szCs w:val="18"/>
                <w:lang w:eastAsia="zh-CN"/>
              </w:rPr>
              <w:t>详细技术信息</w:t>
            </w:r>
          </w:p>
        </w:tc>
      </w:tr>
      <w:tr w14:paraId="7F7C31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14:paraId="08FFBC8E">
            <w:pPr>
              <w:spacing w:line="300" w:lineRule="auto"/>
              <w:jc w:val="center"/>
              <w:rPr>
                <w:rFonts w:eastAsia="宋体"/>
                <w:b/>
                <w:bCs/>
                <w:sz w:val="18"/>
                <w:szCs w:val="18"/>
                <w:lang w:eastAsia="zh-CN"/>
              </w:rPr>
            </w:pPr>
            <w:r>
              <w:rPr>
                <w:rFonts w:hint="eastAsia" w:eastAsia="宋体"/>
                <w:b/>
                <w:bCs/>
                <w:sz w:val="18"/>
                <w:szCs w:val="18"/>
                <w:lang w:eastAsia="zh-CN"/>
              </w:rPr>
              <w:t>1、提案名称</w:t>
            </w:r>
          </w:p>
        </w:tc>
        <w:tc>
          <w:tcPr>
            <w:tcW w:w="7350" w:type="dxa"/>
            <w:tcBorders>
              <w:tl2br w:val="nil"/>
              <w:tr2bl w:val="nil"/>
            </w:tcBorders>
          </w:tcPr>
          <w:p w14:paraId="6534D433">
            <w:pPr>
              <w:spacing w:line="300" w:lineRule="auto"/>
              <w:jc w:val="both"/>
              <w:rPr>
                <w:rFonts w:eastAsia="宋体"/>
                <w:sz w:val="18"/>
                <w:szCs w:val="18"/>
                <w:lang w:eastAsia="zh-CN"/>
              </w:rPr>
            </w:pPr>
            <w:r>
              <w:rPr>
                <w:rFonts w:hint="eastAsia" w:eastAsia="宋体"/>
                <w:sz w:val="18"/>
                <w:szCs w:val="18"/>
                <w:lang w:eastAsia="zh-CN"/>
              </w:rPr>
              <w:t>一种高性能并行计算方法</w:t>
            </w:r>
          </w:p>
        </w:tc>
      </w:tr>
      <w:tr w14:paraId="125435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restart"/>
            <w:tcBorders>
              <w:tl2br w:val="nil"/>
              <w:tr2bl w:val="nil"/>
            </w:tcBorders>
          </w:tcPr>
          <w:p w14:paraId="3F1F8BF3">
            <w:pPr>
              <w:spacing w:line="300" w:lineRule="auto"/>
              <w:jc w:val="center"/>
              <w:rPr>
                <w:rFonts w:eastAsia="宋体"/>
                <w:b/>
                <w:bCs/>
                <w:sz w:val="18"/>
                <w:szCs w:val="18"/>
                <w:lang w:eastAsia="zh-CN"/>
              </w:rPr>
            </w:pPr>
            <w:r>
              <w:rPr>
                <w:rFonts w:hint="eastAsia" w:eastAsia="宋体"/>
                <w:b/>
                <w:bCs/>
                <w:sz w:val="18"/>
                <w:szCs w:val="18"/>
                <w:lang w:eastAsia="zh-CN"/>
              </w:rPr>
              <w:t>2、</w:t>
            </w:r>
            <w:r>
              <w:rPr>
                <w:rFonts w:eastAsia="宋体"/>
                <w:b/>
                <w:bCs/>
                <w:sz w:val="18"/>
                <w:szCs w:val="18"/>
                <w:lang w:eastAsia="zh-CN"/>
              </w:rPr>
              <w:t>背景</w:t>
            </w:r>
            <w:r>
              <w:rPr>
                <w:rFonts w:hint="eastAsia" w:eastAsia="宋体"/>
                <w:b/>
                <w:bCs/>
                <w:sz w:val="18"/>
                <w:szCs w:val="18"/>
                <w:lang w:eastAsia="zh-CN"/>
              </w:rPr>
              <w:t>技术</w:t>
            </w:r>
          </w:p>
        </w:tc>
        <w:tc>
          <w:tcPr>
            <w:tcW w:w="7350" w:type="dxa"/>
            <w:tcBorders>
              <w:tl2br w:val="nil"/>
              <w:tr2bl w:val="nil"/>
            </w:tcBorders>
            <w:shd w:val="clear" w:color="auto" w:fill="F1F1F1" w:themeFill="background1" w:themeFillShade="F2"/>
          </w:tcPr>
          <w:p w14:paraId="0E30A236">
            <w:pPr>
              <w:spacing w:line="300" w:lineRule="auto"/>
              <w:jc w:val="both"/>
              <w:rPr>
                <w:rFonts w:eastAsia="宋体"/>
                <w:sz w:val="18"/>
                <w:szCs w:val="18"/>
                <w:lang w:eastAsia="zh-CN"/>
              </w:rPr>
            </w:pPr>
            <w:r>
              <w:rPr>
                <w:rFonts w:hint="eastAsia" w:eastAsia="宋体"/>
                <w:b/>
                <w:bCs/>
                <w:sz w:val="18"/>
                <w:szCs w:val="18"/>
                <w:lang w:eastAsia="zh-CN"/>
              </w:rPr>
              <w:t>2.1 现有技术介绍</w:t>
            </w:r>
            <w:r>
              <w:rPr>
                <w:rFonts w:hint="eastAsia" w:eastAsia="宋体"/>
                <w:sz w:val="18"/>
                <w:szCs w:val="18"/>
                <w:lang w:eastAsia="zh-CN"/>
              </w:rPr>
              <w:t>（面向技术小白，请对现有/最接近的技术方案进行描述，包括本技术方案所处的技术领域、背景以及相关技术发展等）</w:t>
            </w:r>
          </w:p>
        </w:tc>
      </w:tr>
      <w:tr w14:paraId="7EDE8B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1E236993">
            <w:pPr>
              <w:spacing w:line="300" w:lineRule="auto"/>
              <w:jc w:val="center"/>
              <w:rPr>
                <w:rFonts w:eastAsia="宋体"/>
                <w:b/>
                <w:bCs/>
                <w:sz w:val="18"/>
                <w:szCs w:val="18"/>
                <w:lang w:eastAsia="zh-CN"/>
              </w:rPr>
            </w:pPr>
          </w:p>
        </w:tc>
        <w:tc>
          <w:tcPr>
            <w:tcW w:w="7350" w:type="dxa"/>
            <w:tcBorders>
              <w:tl2br w:val="nil"/>
              <w:tr2bl w:val="nil"/>
            </w:tcBorders>
          </w:tcPr>
          <w:p w14:paraId="5FB96043">
            <w:pPr>
              <w:spacing w:line="300" w:lineRule="auto"/>
              <w:ind w:firstLine="360" w:firstLineChars="200"/>
              <w:jc w:val="both"/>
              <w:rPr>
                <w:rFonts w:hint="default" w:eastAsia="宋体"/>
                <w:sz w:val="18"/>
                <w:szCs w:val="18"/>
                <w:lang w:val="en-US" w:eastAsia="zh-CN"/>
              </w:rPr>
            </w:pPr>
            <w:r>
              <w:rPr>
                <w:rFonts w:hint="eastAsia" w:eastAsia="宋体"/>
                <w:sz w:val="18"/>
                <w:szCs w:val="18"/>
                <w:lang w:eastAsia="zh-CN"/>
              </w:rPr>
              <w:t>随着</w:t>
            </w:r>
            <w:r>
              <w:rPr>
                <w:rFonts w:hint="eastAsia" w:eastAsia="宋体"/>
                <w:sz w:val="18"/>
                <w:szCs w:val="18"/>
                <w:lang w:val="en-US" w:eastAsia="zh-CN"/>
              </w:rPr>
              <w:t>互联网技术的不断发展，用户对体验的要求也变得越来越高，这就对后端服务的性能提出了更高的要求。如物流领域，经常需要对物品装箱的方法进行计算，当物品和装箱的容器很多时，往往比较耗时，这就需要通过并行计算来提升性能。</w:t>
            </w:r>
          </w:p>
          <w:p w14:paraId="188436E7">
            <w:pPr>
              <w:spacing w:line="300" w:lineRule="auto"/>
              <w:ind w:firstLine="360" w:firstLineChars="200"/>
              <w:jc w:val="both"/>
              <w:rPr>
                <w:rFonts w:hint="default" w:eastAsia="宋体"/>
                <w:sz w:val="18"/>
                <w:szCs w:val="18"/>
                <w:lang w:val="en-US" w:eastAsia="zh-CN"/>
              </w:rPr>
            </w:pPr>
            <w:r>
              <w:rPr>
                <w:rFonts w:hint="eastAsia" w:eastAsia="宋体"/>
                <w:sz w:val="18"/>
                <w:szCs w:val="18"/>
                <w:lang w:val="en-US" w:eastAsia="zh-CN"/>
              </w:rPr>
              <w:t>现有技术往往是通过spark等工具进行并行计算，然而spark主要是对sql类型的任务支持较好，对于一些非sql类的业务逻辑支持并不好，因为这些逻辑难以拆分，互相耦合，并且spark需要启动driver和excutor，启动时长也是一个问题。</w:t>
            </w:r>
          </w:p>
        </w:tc>
      </w:tr>
      <w:tr w14:paraId="49A91B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7616423F">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3AF0FD09">
            <w:pPr>
              <w:spacing w:line="300" w:lineRule="auto"/>
              <w:jc w:val="both"/>
              <w:rPr>
                <w:rFonts w:eastAsia="宋体"/>
                <w:sz w:val="18"/>
                <w:szCs w:val="18"/>
                <w:lang w:eastAsia="zh-CN"/>
              </w:rPr>
            </w:pPr>
            <w:r>
              <w:rPr>
                <w:rFonts w:hint="eastAsia" w:eastAsia="宋体"/>
                <w:b/>
                <w:bCs/>
                <w:sz w:val="18"/>
                <w:szCs w:val="18"/>
                <w:lang w:eastAsia="zh-CN"/>
              </w:rPr>
              <w:t>2.2 现有技术的缺点或本发明解决的技术问题</w:t>
            </w:r>
            <w:r>
              <w:rPr>
                <w:rFonts w:hint="eastAsia" w:eastAsia="宋体"/>
                <w:sz w:val="18"/>
                <w:szCs w:val="18"/>
                <w:lang w:eastAsia="zh-CN"/>
              </w:rPr>
              <w:t>（项目/系统中存在什么样的技术问题需要提出改进，注意避免过分夸大现有技术的缺点）</w:t>
            </w:r>
          </w:p>
        </w:tc>
      </w:tr>
      <w:tr w14:paraId="7312FD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002F8F6C">
            <w:pPr>
              <w:spacing w:line="300" w:lineRule="auto"/>
              <w:jc w:val="center"/>
              <w:rPr>
                <w:rFonts w:eastAsia="宋体"/>
                <w:b/>
                <w:bCs/>
                <w:sz w:val="18"/>
                <w:szCs w:val="18"/>
                <w:lang w:eastAsia="zh-CN"/>
              </w:rPr>
            </w:pPr>
          </w:p>
        </w:tc>
        <w:tc>
          <w:tcPr>
            <w:tcW w:w="7350" w:type="dxa"/>
            <w:tcBorders>
              <w:tl2br w:val="nil"/>
              <w:tr2bl w:val="nil"/>
            </w:tcBorders>
          </w:tcPr>
          <w:p w14:paraId="62115738">
            <w:pPr>
              <w:spacing w:line="300" w:lineRule="auto"/>
              <w:ind w:firstLine="360" w:firstLineChars="200"/>
              <w:jc w:val="both"/>
              <w:rPr>
                <w:rFonts w:hint="default" w:eastAsia="宋体"/>
                <w:sz w:val="18"/>
                <w:szCs w:val="18"/>
                <w:lang w:val="en-US" w:eastAsia="zh-CN"/>
              </w:rPr>
            </w:pPr>
            <w:r>
              <w:rPr>
                <w:rFonts w:hint="eastAsia" w:eastAsia="宋体"/>
                <w:sz w:val="18"/>
                <w:szCs w:val="18"/>
                <w:lang w:eastAsia="zh-CN"/>
              </w:rPr>
              <w:t>为了克服现有技术</w:t>
            </w:r>
            <w:r>
              <w:rPr>
                <w:rFonts w:hint="eastAsia" w:eastAsia="宋体"/>
                <w:sz w:val="18"/>
                <w:szCs w:val="18"/>
                <w:lang w:val="en-US" w:eastAsia="zh-CN"/>
              </w:rPr>
              <w:t>对非sql任务支持不好的问题，本发明提出了一种通用的并行计算方法，针对非sql任务提出了数据分割和并行执行方法，可以高性能地计算一些复杂的业务问题。</w:t>
            </w:r>
          </w:p>
        </w:tc>
      </w:tr>
      <w:tr w14:paraId="1604DA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restart"/>
            <w:tcBorders>
              <w:tl2br w:val="nil"/>
              <w:tr2bl w:val="nil"/>
            </w:tcBorders>
          </w:tcPr>
          <w:p w14:paraId="36EF919B">
            <w:pPr>
              <w:spacing w:line="300" w:lineRule="auto"/>
              <w:jc w:val="center"/>
              <w:rPr>
                <w:rFonts w:eastAsia="宋体"/>
                <w:b/>
                <w:bCs/>
                <w:sz w:val="18"/>
                <w:szCs w:val="18"/>
                <w:lang w:eastAsia="zh-CN"/>
              </w:rPr>
            </w:pPr>
            <w:r>
              <w:rPr>
                <w:rFonts w:hint="eastAsia" w:eastAsia="宋体"/>
                <w:b/>
                <w:bCs/>
                <w:sz w:val="18"/>
                <w:szCs w:val="18"/>
                <w:lang w:eastAsia="zh-CN"/>
              </w:rPr>
              <w:t>3、详细方案</w:t>
            </w:r>
          </w:p>
        </w:tc>
        <w:tc>
          <w:tcPr>
            <w:tcW w:w="7350" w:type="dxa"/>
            <w:tcBorders>
              <w:tl2br w:val="nil"/>
              <w:tr2bl w:val="nil"/>
            </w:tcBorders>
            <w:shd w:val="clear" w:color="auto" w:fill="F1F1F1" w:themeFill="background1" w:themeFillShade="F2"/>
          </w:tcPr>
          <w:p w14:paraId="3A6A2449">
            <w:pPr>
              <w:spacing w:line="300" w:lineRule="auto"/>
              <w:jc w:val="both"/>
              <w:rPr>
                <w:rFonts w:eastAsia="宋体"/>
                <w:sz w:val="18"/>
                <w:szCs w:val="18"/>
                <w:lang w:eastAsia="zh-CN"/>
              </w:rPr>
            </w:pPr>
            <w:r>
              <w:rPr>
                <w:rFonts w:hint="eastAsia" w:eastAsia="宋体"/>
                <w:b/>
                <w:bCs/>
                <w:sz w:val="18"/>
                <w:szCs w:val="18"/>
                <w:lang w:eastAsia="zh-CN"/>
              </w:rPr>
              <w:t>3.1 本发明的核心发明点</w:t>
            </w:r>
            <w:r>
              <w:rPr>
                <w:rFonts w:hint="eastAsia" w:eastAsia="宋体"/>
                <w:sz w:val="18"/>
                <w:szCs w:val="18"/>
                <w:lang w:eastAsia="zh-CN"/>
              </w:rPr>
              <w:t>（请说明为了解决上述技术问题，你所设计、构思的技术方案中最关键的几个要素）</w:t>
            </w:r>
          </w:p>
        </w:tc>
      </w:tr>
      <w:tr w14:paraId="0A03492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3FD7BA04">
            <w:pPr>
              <w:spacing w:line="300" w:lineRule="auto"/>
              <w:jc w:val="center"/>
              <w:rPr>
                <w:rFonts w:eastAsia="宋体"/>
                <w:b/>
                <w:bCs/>
                <w:sz w:val="18"/>
                <w:szCs w:val="18"/>
                <w:lang w:eastAsia="zh-CN"/>
              </w:rPr>
            </w:pPr>
          </w:p>
        </w:tc>
        <w:tc>
          <w:tcPr>
            <w:tcW w:w="7350" w:type="dxa"/>
            <w:tcBorders>
              <w:tl2br w:val="nil"/>
              <w:tr2bl w:val="nil"/>
            </w:tcBorders>
          </w:tcPr>
          <w:p w14:paraId="3D7D06B5">
            <w:pPr>
              <w:spacing w:line="300" w:lineRule="auto"/>
              <w:ind w:firstLine="360" w:firstLineChars="200"/>
              <w:jc w:val="both"/>
              <w:rPr>
                <w:rFonts w:hint="default" w:eastAsia="宋体"/>
                <w:sz w:val="18"/>
                <w:szCs w:val="18"/>
                <w:lang w:val="en-US" w:eastAsia="zh-CN"/>
              </w:rPr>
            </w:pPr>
            <w:r>
              <w:rPr>
                <w:rFonts w:hint="eastAsia" w:eastAsia="宋体"/>
                <w:sz w:val="18"/>
                <w:szCs w:val="18"/>
                <w:lang w:eastAsia="zh-CN"/>
              </w:rPr>
              <w:t>本发明</w:t>
            </w:r>
            <w:r>
              <w:rPr>
                <w:rFonts w:hint="eastAsia" w:eastAsia="宋体"/>
                <w:sz w:val="18"/>
                <w:szCs w:val="18"/>
                <w:lang w:val="en-US" w:eastAsia="zh-CN"/>
              </w:rPr>
              <w:t>通过开发并行计算控制器、并行计算调度器，并通过不同维度的中间变量的共享和汇聚，可以很好地支持不同类型业务逻辑的高并发计算。</w:t>
            </w:r>
          </w:p>
        </w:tc>
      </w:tr>
      <w:tr w14:paraId="1C357A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50B28260">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4F8E453A">
            <w:pPr>
              <w:spacing w:line="300" w:lineRule="auto"/>
              <w:jc w:val="both"/>
              <w:rPr>
                <w:rFonts w:eastAsia="宋体"/>
                <w:sz w:val="18"/>
                <w:szCs w:val="18"/>
                <w:lang w:eastAsia="zh-CN"/>
              </w:rPr>
            </w:pPr>
            <w:r>
              <w:rPr>
                <w:rFonts w:hint="eastAsia" w:eastAsia="宋体"/>
                <w:b/>
                <w:bCs/>
                <w:sz w:val="18"/>
                <w:szCs w:val="18"/>
                <w:u w:val="single"/>
                <w:lang w:eastAsia="zh-CN"/>
              </w:rPr>
              <w:t>3.2 完整技术方案描述</w:t>
            </w:r>
            <w:r>
              <w:rPr>
                <w:rFonts w:hint="eastAsia" w:eastAsia="宋体"/>
                <w:sz w:val="18"/>
                <w:szCs w:val="18"/>
                <w:lang w:eastAsia="zh-CN"/>
              </w:rPr>
              <w:t>（可以设想面向技术小白时，如何</w:t>
            </w:r>
            <w:r>
              <w:rPr>
                <w:rFonts w:hint="eastAsia" w:eastAsia="宋体"/>
                <w:b/>
                <w:bCs/>
                <w:sz w:val="18"/>
                <w:szCs w:val="18"/>
                <w:lang w:eastAsia="zh-CN"/>
              </w:rPr>
              <w:t>结合图示</w:t>
            </w:r>
            <w:r>
              <w:rPr>
                <w:rFonts w:hint="eastAsia" w:eastAsia="宋体"/>
                <w:sz w:val="18"/>
                <w:szCs w:val="18"/>
                <w:lang w:eastAsia="zh-CN"/>
              </w:rPr>
              <w:t>对技术方案进行</w:t>
            </w:r>
            <w:r>
              <w:rPr>
                <w:rFonts w:hint="eastAsia" w:eastAsia="宋体"/>
                <w:b/>
                <w:bCs/>
                <w:sz w:val="18"/>
                <w:szCs w:val="18"/>
                <w:lang w:eastAsia="zh-CN"/>
              </w:rPr>
              <w:t>详细、通俗</w:t>
            </w:r>
            <w:r>
              <w:rPr>
                <w:rFonts w:hint="eastAsia" w:eastAsia="宋体"/>
                <w:sz w:val="18"/>
                <w:szCs w:val="18"/>
                <w:lang w:eastAsia="zh-CN"/>
              </w:rPr>
              <w:t>的解释）</w:t>
            </w:r>
          </w:p>
        </w:tc>
      </w:tr>
      <w:tr w14:paraId="52998A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4189CE67">
            <w:pPr>
              <w:spacing w:line="300" w:lineRule="auto"/>
              <w:jc w:val="center"/>
              <w:rPr>
                <w:rFonts w:eastAsia="宋体"/>
                <w:b/>
                <w:bCs/>
                <w:sz w:val="18"/>
                <w:szCs w:val="18"/>
                <w:lang w:eastAsia="zh-CN"/>
              </w:rPr>
            </w:pPr>
          </w:p>
        </w:tc>
        <w:tc>
          <w:tcPr>
            <w:tcW w:w="7350" w:type="dxa"/>
            <w:tcBorders>
              <w:tl2br w:val="nil"/>
              <w:tr2bl w:val="nil"/>
            </w:tcBorders>
          </w:tcPr>
          <w:p w14:paraId="1A8117D6">
            <w:pPr>
              <w:spacing w:line="300" w:lineRule="auto"/>
              <w:ind w:firstLine="360"/>
              <w:jc w:val="both"/>
              <w:rPr>
                <w:rFonts w:hint="default" w:eastAsia="宋体"/>
                <w:sz w:val="18"/>
                <w:szCs w:val="18"/>
                <w:lang w:val="en-US" w:eastAsia="zh-CN"/>
              </w:rPr>
            </w:pPr>
            <w:r>
              <w:rPr>
                <w:rFonts w:hint="default" w:eastAsia="宋体"/>
                <w:sz w:val="18"/>
                <w:szCs w:val="18"/>
                <w:lang w:val="en-US" w:eastAsia="zh-CN"/>
              </w:rPr>
              <w:t>首先，开发并行计算控制器，该控制器会将整个计算过程拆分成多个序列，每个序列由多个并行计算单元组成。各个序列中的并行计算单元序号一一对应，如序列1中的并行计算单元1生成的共享中间变量1会作为输入传输给序列2中的并行计算单元1。每个并行计算单元都代表整体计算的某个或某些维度。每个并行计算单元包含1个或多个共享中间变量，共享变量用于存储单个并行计算的一些中间结果。此外该控制器还会对整个计算按数据批次进行拆解，并分发到每个并行计算中。每个并行计算单元会遍历分配到的多个数据批次，进行数据组装，执行计算过程，并最终更新共享变量。</w:t>
            </w:r>
          </w:p>
          <w:p w14:paraId="2E3DB8E9">
            <w:pPr>
              <w:spacing w:line="300" w:lineRule="auto"/>
              <w:ind w:firstLine="360"/>
              <w:jc w:val="both"/>
              <w:rPr>
                <w:rFonts w:hint="default" w:eastAsia="宋体"/>
                <w:sz w:val="18"/>
                <w:szCs w:val="18"/>
                <w:lang w:val="en-US" w:eastAsia="zh-CN"/>
              </w:rPr>
            </w:pPr>
            <w:r>
              <w:rPr>
                <w:rFonts w:hint="default" w:eastAsia="宋体"/>
                <w:sz w:val="18"/>
                <w:szCs w:val="18"/>
                <w:lang w:val="en-US" w:eastAsia="zh-CN"/>
              </w:rPr>
              <w:t>然后，开发并行计算调度器，该调度器会实时探测各个并行计算实例中各个cpu核心的占用情况，如实例1共有8个核心，当前占用了2个核心等。当调度器发现并行计算任务时，会往存在空闲cpu计算核心的实例发送任务。当某个cpu执行完某个并行计算单元时，会给调度器发送cpu核心释放通知，让调度器能迅速将其他并行计算单元提交过来。为了节省网络调用开销，调度器会尽可能将一批任务同时发送到尽可能少的计算实例中，每个任务占用计算实例1个cpu核心。</w:t>
            </w:r>
          </w:p>
          <w:p w14:paraId="607A3730">
            <w:pPr>
              <w:spacing w:line="300" w:lineRule="auto"/>
              <w:ind w:firstLine="360"/>
              <w:jc w:val="both"/>
              <w:rPr>
                <w:rFonts w:hint="default" w:eastAsia="宋体"/>
                <w:sz w:val="18"/>
                <w:szCs w:val="18"/>
                <w:lang w:val="en-US" w:eastAsia="zh-CN"/>
              </w:rPr>
            </w:pPr>
            <w:r>
              <w:rPr>
                <w:rFonts w:hint="default" w:eastAsia="宋体"/>
                <w:sz w:val="18"/>
                <w:szCs w:val="18"/>
                <w:lang w:val="en-US" w:eastAsia="zh-CN"/>
              </w:rPr>
              <w:t>最后，对整个计算过程中生成的共享变量进行汇总，得到最终的计算结果。</w:t>
            </w:r>
          </w:p>
          <w:p w14:paraId="40C56559">
            <w:pPr>
              <w:spacing w:line="300" w:lineRule="auto"/>
              <w:ind w:firstLine="360"/>
              <w:jc w:val="both"/>
              <w:rPr>
                <w:rFonts w:eastAsia="宋体"/>
                <w:sz w:val="18"/>
                <w:szCs w:val="18"/>
                <w:lang w:eastAsia="zh-CN"/>
              </w:rPr>
            </w:pPr>
            <w:r>
              <w:rPr>
                <w:rFonts w:hint="eastAsia" w:eastAsia="宋体"/>
                <w:sz w:val="18"/>
                <w:szCs w:val="18"/>
                <w:lang w:eastAsia="zh-CN"/>
              </w:rPr>
              <w:t>整体流程如图所示：</w:t>
            </w:r>
          </w:p>
          <w:p w14:paraId="1EBB3CA4">
            <w:pPr>
              <w:spacing w:line="300" w:lineRule="auto"/>
              <w:jc w:val="both"/>
              <w:rPr>
                <w:rFonts w:eastAsia="宋体"/>
                <w:sz w:val="18"/>
                <w:szCs w:val="18"/>
                <w:lang w:eastAsia="zh-CN"/>
              </w:rPr>
            </w:pPr>
            <w:r>
              <w:rPr>
                <w:rFonts w:eastAsia="宋体"/>
                <w:sz w:val="18"/>
                <w:szCs w:val="18"/>
                <w:lang w:eastAsia="zh-CN"/>
              </w:rPr>
              <w:drawing>
                <wp:inline distT="0" distB="0" distL="114300" distR="114300">
                  <wp:extent cx="4502150" cy="3134995"/>
                  <wp:effectExtent l="0" t="0" r="6350" b="1905"/>
                  <wp:docPr id="2" name="图片 2" descr="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流程图.drawio"/>
                          <pic:cNvPicPr>
                            <a:picLocks noChangeAspect="1"/>
                          </pic:cNvPicPr>
                        </pic:nvPicPr>
                        <pic:blipFill>
                          <a:blip r:embed="rId6"/>
                          <a:stretch>
                            <a:fillRect/>
                          </a:stretch>
                        </pic:blipFill>
                        <pic:spPr>
                          <a:xfrm>
                            <a:off x="0" y="0"/>
                            <a:ext cx="4502150" cy="3134995"/>
                          </a:xfrm>
                          <a:prstGeom prst="rect">
                            <a:avLst/>
                          </a:prstGeom>
                        </pic:spPr>
                      </pic:pic>
                    </a:graphicData>
                  </a:graphic>
                </wp:inline>
              </w:drawing>
            </w:r>
          </w:p>
          <w:p w14:paraId="0562B2F8">
            <w:pPr>
              <w:spacing w:line="300" w:lineRule="auto"/>
              <w:ind w:firstLine="360" w:firstLineChars="200"/>
              <w:jc w:val="both"/>
              <w:rPr>
                <w:rFonts w:hint="default" w:eastAsia="宋体"/>
                <w:sz w:val="18"/>
                <w:szCs w:val="18"/>
                <w:lang w:val="en-US" w:eastAsia="zh-CN"/>
              </w:rPr>
            </w:pPr>
            <w:r>
              <w:rPr>
                <w:rFonts w:hint="default" w:eastAsia="宋体"/>
                <w:sz w:val="18"/>
                <w:szCs w:val="18"/>
                <w:lang w:val="en-US" w:eastAsia="zh-CN"/>
              </w:rPr>
              <w:t>从图中可以看出，并行计算控制器用于将复杂的业务计算任务的输入分解成多个批次，每个批次代表1个或多个维度的数据，并将这些数据按1个或多个维度分发给并行计算单元。每个并行计算单元包含1个或多个共享中间变量，并属于其中一个并行计算序列，每个并行计算序列中的某个并行计算单元都会计算一部分某个维度数据。计算调度器会将并行计算单元调度到存在闲置cpu的并行计算实例中，并会实时探测和接收并行计算实例中cpu的空闲情况。当所有并行计算序列都执行完时，就会从所有共享中间变量汇总出最终结果。</w:t>
            </w:r>
          </w:p>
        </w:tc>
      </w:tr>
      <w:tr w14:paraId="08F55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2358F6FF">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1E404393">
            <w:pPr>
              <w:spacing w:line="300" w:lineRule="auto"/>
              <w:jc w:val="both"/>
              <w:rPr>
                <w:rFonts w:eastAsia="宋体"/>
                <w:sz w:val="18"/>
                <w:szCs w:val="18"/>
                <w:lang w:eastAsia="zh-CN"/>
              </w:rPr>
            </w:pPr>
            <w:r>
              <w:rPr>
                <w:rFonts w:hint="eastAsia" w:eastAsia="宋体"/>
                <w:b/>
                <w:bCs/>
                <w:sz w:val="18"/>
                <w:szCs w:val="18"/>
                <w:lang w:eastAsia="zh-CN"/>
              </w:rPr>
              <w:t>3.3 技术效果</w:t>
            </w:r>
          </w:p>
        </w:tc>
      </w:tr>
      <w:tr w14:paraId="302194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0B957111">
            <w:pPr>
              <w:spacing w:line="300" w:lineRule="auto"/>
              <w:jc w:val="center"/>
              <w:rPr>
                <w:rFonts w:eastAsia="宋体"/>
                <w:b/>
                <w:bCs/>
                <w:sz w:val="18"/>
                <w:szCs w:val="18"/>
                <w:lang w:eastAsia="zh-CN"/>
              </w:rPr>
            </w:pPr>
          </w:p>
        </w:tc>
        <w:tc>
          <w:tcPr>
            <w:tcW w:w="7350" w:type="dxa"/>
            <w:tcBorders>
              <w:tl2br w:val="nil"/>
              <w:tr2bl w:val="nil"/>
            </w:tcBorders>
          </w:tcPr>
          <w:p w14:paraId="4BBD5A99">
            <w:pPr>
              <w:spacing w:line="300" w:lineRule="auto"/>
              <w:ind w:firstLine="360" w:firstLineChars="200"/>
              <w:jc w:val="both"/>
              <w:rPr>
                <w:rFonts w:hint="eastAsia" w:eastAsia="宋体"/>
                <w:sz w:val="18"/>
                <w:szCs w:val="18"/>
                <w:lang w:val="en-US" w:eastAsia="zh-CN"/>
              </w:rPr>
            </w:pPr>
            <w:r>
              <w:rPr>
                <w:rFonts w:hint="eastAsia" w:eastAsia="宋体"/>
                <w:sz w:val="18"/>
                <w:szCs w:val="18"/>
                <w:lang w:eastAsia="zh-CN"/>
              </w:rPr>
              <w:t>本发明提出了一种</w:t>
            </w:r>
            <w:r>
              <w:rPr>
                <w:rFonts w:hint="eastAsia" w:eastAsia="宋体"/>
                <w:sz w:val="18"/>
                <w:szCs w:val="18"/>
                <w:lang w:val="en-US" w:eastAsia="zh-CN"/>
              </w:rPr>
              <w:t>高性能并行计算方法，适用于物流、互联网等需要执行高性能业务计算的领域。主要解决的问题有：并行计算的原理和结构。</w:t>
            </w:r>
          </w:p>
          <w:p w14:paraId="24B74135">
            <w:pPr>
              <w:spacing w:line="300" w:lineRule="auto"/>
              <w:ind w:firstLine="360" w:firstLineChars="200"/>
              <w:jc w:val="both"/>
              <w:rPr>
                <w:rFonts w:hint="default" w:eastAsia="宋体"/>
                <w:sz w:val="18"/>
                <w:szCs w:val="18"/>
                <w:lang w:val="en-US" w:eastAsia="zh-CN"/>
              </w:rPr>
            </w:pPr>
            <w:r>
              <w:rPr>
                <w:rFonts w:hint="eastAsia" w:eastAsia="宋体"/>
                <w:sz w:val="18"/>
                <w:szCs w:val="18"/>
                <w:lang w:val="en-US" w:eastAsia="zh-CN"/>
              </w:rPr>
              <w:t>跟之前的方案相比，本发明可以支持sql以外的并行业务计算场景，能够充分发挥多cpu的并发性能，大大提升用户体验</w:t>
            </w:r>
            <w:bookmarkStart w:id="0" w:name="_GoBack"/>
            <w:bookmarkEnd w:id="0"/>
          </w:p>
        </w:tc>
      </w:tr>
      <w:tr w14:paraId="1AD62B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restart"/>
            <w:tcBorders>
              <w:tl2br w:val="nil"/>
              <w:tr2bl w:val="nil"/>
            </w:tcBorders>
          </w:tcPr>
          <w:p w14:paraId="6D284A90">
            <w:pPr>
              <w:spacing w:line="300" w:lineRule="auto"/>
              <w:jc w:val="center"/>
              <w:rPr>
                <w:rFonts w:eastAsia="宋体"/>
                <w:b/>
                <w:bCs/>
                <w:sz w:val="18"/>
                <w:szCs w:val="18"/>
                <w:lang w:eastAsia="zh-CN"/>
              </w:rPr>
            </w:pPr>
            <w:r>
              <w:rPr>
                <w:rFonts w:hint="eastAsia" w:eastAsia="宋体"/>
                <w:b/>
                <w:bCs/>
                <w:sz w:val="18"/>
                <w:szCs w:val="18"/>
                <w:lang w:eastAsia="zh-CN"/>
              </w:rPr>
              <w:t>4、技术补充</w:t>
            </w:r>
          </w:p>
        </w:tc>
        <w:tc>
          <w:tcPr>
            <w:tcW w:w="7350" w:type="dxa"/>
            <w:tcBorders>
              <w:tl2br w:val="nil"/>
              <w:tr2bl w:val="nil"/>
            </w:tcBorders>
            <w:shd w:val="clear" w:color="auto" w:fill="F1F1F1" w:themeFill="background1" w:themeFillShade="F2"/>
          </w:tcPr>
          <w:p w14:paraId="2980137F">
            <w:pPr>
              <w:spacing w:line="300" w:lineRule="auto"/>
              <w:jc w:val="both"/>
              <w:rPr>
                <w:rFonts w:eastAsia="宋体"/>
                <w:sz w:val="18"/>
                <w:szCs w:val="18"/>
                <w:lang w:eastAsia="zh-CN"/>
              </w:rPr>
            </w:pPr>
            <w:r>
              <w:rPr>
                <w:rFonts w:hint="eastAsia" w:eastAsia="宋体"/>
                <w:b/>
                <w:bCs/>
                <w:sz w:val="18"/>
                <w:szCs w:val="18"/>
                <w:lang w:eastAsia="zh-CN"/>
              </w:rPr>
              <w:t>4.1 替代方案</w:t>
            </w:r>
            <w:r>
              <w:rPr>
                <w:rFonts w:hint="eastAsia" w:eastAsia="宋体"/>
                <w:sz w:val="18"/>
                <w:szCs w:val="18"/>
                <w:lang w:eastAsia="zh-CN"/>
              </w:rPr>
              <w:t>（为了防止他人通过改变技术方案来绕开本发明，建议充分考虑其他可能的技术方案，如有则填写）</w:t>
            </w:r>
          </w:p>
        </w:tc>
      </w:tr>
      <w:tr w14:paraId="144FF3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1F4799BD">
            <w:pPr>
              <w:spacing w:line="300" w:lineRule="auto"/>
              <w:jc w:val="center"/>
              <w:rPr>
                <w:rFonts w:eastAsia="宋体"/>
                <w:b/>
                <w:bCs/>
                <w:sz w:val="18"/>
                <w:szCs w:val="18"/>
                <w:lang w:eastAsia="zh-CN"/>
              </w:rPr>
            </w:pPr>
          </w:p>
        </w:tc>
        <w:tc>
          <w:tcPr>
            <w:tcW w:w="7350" w:type="dxa"/>
            <w:tcBorders>
              <w:tl2br w:val="nil"/>
              <w:tr2bl w:val="nil"/>
            </w:tcBorders>
          </w:tcPr>
          <w:p w14:paraId="0AC3B671">
            <w:pPr>
              <w:spacing w:line="300" w:lineRule="auto"/>
              <w:ind w:firstLine="360" w:firstLineChars="200"/>
              <w:jc w:val="both"/>
              <w:rPr>
                <w:rFonts w:hint="default" w:eastAsia="宋体"/>
                <w:sz w:val="18"/>
                <w:szCs w:val="18"/>
                <w:lang w:val="en-US" w:eastAsia="zh-CN"/>
              </w:rPr>
            </w:pPr>
            <w:r>
              <w:rPr>
                <w:rFonts w:hint="eastAsia" w:eastAsia="宋体"/>
                <w:sz w:val="18"/>
                <w:szCs w:val="18"/>
                <w:lang w:val="en-US" w:eastAsia="zh-CN"/>
              </w:rPr>
              <w:t>大幅升级cpu性能，让单cpu也能进行高性能业务计算</w:t>
            </w:r>
          </w:p>
        </w:tc>
      </w:tr>
      <w:tr w14:paraId="4FF39F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101D1FDB">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43D6892B">
            <w:pPr>
              <w:spacing w:line="300" w:lineRule="auto"/>
              <w:jc w:val="both"/>
              <w:rPr>
                <w:rFonts w:eastAsia="宋体"/>
                <w:sz w:val="18"/>
                <w:szCs w:val="18"/>
                <w:lang w:eastAsia="zh-CN"/>
              </w:rPr>
            </w:pPr>
            <w:r>
              <w:rPr>
                <w:rFonts w:hint="eastAsia" w:eastAsia="宋体"/>
                <w:b/>
                <w:bCs/>
                <w:sz w:val="18"/>
                <w:szCs w:val="18"/>
                <w:lang w:eastAsia="zh-CN"/>
              </w:rPr>
              <w:t>4.2 术语说明</w:t>
            </w:r>
            <w:r>
              <w:rPr>
                <w:rFonts w:hint="eastAsia" w:eastAsia="宋体"/>
                <w:sz w:val="18"/>
                <w:szCs w:val="18"/>
                <w:lang w:eastAsia="zh-CN"/>
              </w:rPr>
              <w:t>（请对本交底书中提及的关键术语、技术缩略语进行解释说明，如果有英文缩写，请给出英文全称和中文注释，若有英文单词，请给出中文注释或者解释）</w:t>
            </w:r>
          </w:p>
        </w:tc>
      </w:tr>
      <w:tr w14:paraId="505D82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37E67A8F">
            <w:pPr>
              <w:spacing w:line="300" w:lineRule="auto"/>
              <w:jc w:val="center"/>
              <w:rPr>
                <w:rFonts w:eastAsia="宋体"/>
                <w:b/>
                <w:bCs/>
                <w:sz w:val="18"/>
                <w:szCs w:val="18"/>
                <w:lang w:eastAsia="zh-CN"/>
              </w:rPr>
            </w:pPr>
          </w:p>
        </w:tc>
        <w:tc>
          <w:tcPr>
            <w:tcW w:w="7350" w:type="dxa"/>
            <w:tcBorders>
              <w:tl2br w:val="nil"/>
              <w:tr2bl w:val="nil"/>
            </w:tcBorders>
          </w:tcPr>
          <w:p w14:paraId="31A159DA">
            <w:pPr>
              <w:spacing w:line="300" w:lineRule="auto"/>
              <w:ind w:firstLine="360" w:firstLineChars="200"/>
              <w:jc w:val="both"/>
              <w:rPr>
                <w:rFonts w:eastAsia="宋体"/>
                <w:sz w:val="18"/>
                <w:szCs w:val="18"/>
                <w:lang w:eastAsia="zh-CN"/>
              </w:rPr>
            </w:pPr>
            <w:r>
              <w:rPr>
                <w:rFonts w:hint="eastAsia" w:eastAsia="宋体"/>
                <w:sz w:val="18"/>
                <w:szCs w:val="18"/>
                <w:lang w:eastAsia="zh-CN"/>
              </w:rPr>
              <w:t>无</w:t>
            </w:r>
          </w:p>
        </w:tc>
      </w:tr>
      <w:tr w14:paraId="1918FC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322EF2B2">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1FBBFC70">
            <w:pPr>
              <w:spacing w:line="300" w:lineRule="auto"/>
              <w:jc w:val="both"/>
              <w:rPr>
                <w:rFonts w:eastAsia="宋体"/>
                <w:sz w:val="18"/>
                <w:szCs w:val="18"/>
                <w:lang w:eastAsia="zh-CN"/>
              </w:rPr>
            </w:pPr>
            <w:r>
              <w:rPr>
                <w:rFonts w:hint="eastAsia" w:eastAsia="宋体"/>
                <w:b/>
                <w:bCs/>
                <w:sz w:val="18"/>
                <w:szCs w:val="18"/>
                <w:lang w:eastAsia="zh-CN"/>
              </w:rPr>
              <w:t>4.3 参考文献</w:t>
            </w:r>
            <w:r>
              <w:rPr>
                <w:rFonts w:hint="eastAsia" w:eastAsia="宋体"/>
                <w:sz w:val="18"/>
                <w:szCs w:val="18"/>
                <w:lang w:eastAsia="zh-CN"/>
              </w:rPr>
              <w:t>（对于理解交底书中的技术方案有帮助的专利/论文/期刊/网页，如有则填写）</w:t>
            </w:r>
          </w:p>
        </w:tc>
      </w:tr>
      <w:tr w14:paraId="6452F5A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5E9EDE28">
            <w:pPr>
              <w:spacing w:line="300" w:lineRule="auto"/>
              <w:jc w:val="center"/>
              <w:rPr>
                <w:rFonts w:eastAsia="宋体"/>
                <w:b/>
                <w:bCs/>
                <w:sz w:val="18"/>
                <w:szCs w:val="18"/>
                <w:lang w:eastAsia="zh-CN"/>
              </w:rPr>
            </w:pPr>
          </w:p>
        </w:tc>
        <w:tc>
          <w:tcPr>
            <w:tcW w:w="7350" w:type="dxa"/>
            <w:tcBorders>
              <w:tl2br w:val="nil"/>
              <w:tr2bl w:val="nil"/>
            </w:tcBorders>
          </w:tcPr>
          <w:p w14:paraId="0A545B75">
            <w:pPr>
              <w:spacing w:line="300" w:lineRule="auto"/>
              <w:ind w:firstLine="360" w:firstLineChars="200"/>
              <w:jc w:val="both"/>
              <w:rPr>
                <w:rFonts w:eastAsia="宋体"/>
                <w:sz w:val="18"/>
                <w:szCs w:val="18"/>
                <w:lang w:eastAsia="zh-CN"/>
              </w:rPr>
            </w:pPr>
            <w:r>
              <w:rPr>
                <w:rFonts w:hint="eastAsia" w:eastAsia="宋体"/>
                <w:sz w:val="18"/>
                <w:szCs w:val="18"/>
                <w:lang w:eastAsia="zh-CN"/>
              </w:rPr>
              <w:t>无</w:t>
            </w:r>
          </w:p>
        </w:tc>
      </w:tr>
      <w:tr w14:paraId="5A0A2AF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restart"/>
            <w:tcBorders>
              <w:tl2br w:val="nil"/>
              <w:tr2bl w:val="nil"/>
            </w:tcBorders>
          </w:tcPr>
          <w:p w14:paraId="1BBDFEC4">
            <w:pPr>
              <w:spacing w:line="300" w:lineRule="auto"/>
              <w:jc w:val="center"/>
              <w:rPr>
                <w:rFonts w:eastAsia="宋体"/>
                <w:b/>
                <w:bCs/>
                <w:sz w:val="18"/>
                <w:szCs w:val="18"/>
                <w:lang w:eastAsia="zh-CN"/>
              </w:rPr>
            </w:pPr>
            <w:r>
              <w:rPr>
                <w:rFonts w:hint="eastAsia" w:eastAsia="宋体"/>
                <w:b/>
                <w:bCs/>
                <w:sz w:val="18"/>
                <w:szCs w:val="18"/>
                <w:lang w:eastAsia="zh-CN"/>
              </w:rPr>
              <w:t>5、技术声明</w:t>
            </w:r>
          </w:p>
        </w:tc>
        <w:tc>
          <w:tcPr>
            <w:tcW w:w="7350" w:type="dxa"/>
            <w:tcBorders>
              <w:tl2br w:val="nil"/>
              <w:tr2bl w:val="nil"/>
            </w:tcBorders>
            <w:shd w:val="clear" w:color="auto" w:fill="F1F1F1" w:themeFill="background1" w:themeFillShade="F2"/>
          </w:tcPr>
          <w:p w14:paraId="15AAC5D0">
            <w:pPr>
              <w:spacing w:line="300" w:lineRule="auto"/>
              <w:jc w:val="both"/>
              <w:rPr>
                <w:rFonts w:eastAsia="宋体"/>
                <w:sz w:val="18"/>
                <w:szCs w:val="18"/>
                <w:lang w:eastAsia="zh-CN"/>
              </w:rPr>
            </w:pPr>
            <w:r>
              <w:rPr>
                <w:rFonts w:hint="eastAsia" w:eastAsia="宋体"/>
                <w:b/>
                <w:bCs/>
                <w:sz w:val="18"/>
                <w:szCs w:val="18"/>
                <w:lang w:eastAsia="zh-CN"/>
              </w:rPr>
              <w:t>5.1 本发明是否已经或计划在项目/产品中实施？</w:t>
            </w:r>
            <w:r>
              <w:rPr>
                <w:rFonts w:hint="eastAsia" w:eastAsia="宋体"/>
                <w:sz w:val="18"/>
                <w:szCs w:val="18"/>
                <w:lang w:eastAsia="zh-CN"/>
              </w:rPr>
              <w:t>（如果是，请列出相关的项目/产品名称、实施或计划实施的时间；并对项目/产品的研发背景做简要介绍）</w:t>
            </w:r>
          </w:p>
        </w:tc>
      </w:tr>
      <w:tr w14:paraId="7557D6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4E0A4B7F">
            <w:pPr>
              <w:spacing w:line="300" w:lineRule="auto"/>
              <w:jc w:val="center"/>
              <w:rPr>
                <w:rFonts w:eastAsia="宋体"/>
                <w:b/>
                <w:bCs/>
                <w:sz w:val="18"/>
                <w:szCs w:val="18"/>
                <w:lang w:eastAsia="zh-CN"/>
              </w:rPr>
            </w:pPr>
          </w:p>
        </w:tc>
        <w:tc>
          <w:tcPr>
            <w:tcW w:w="7350" w:type="dxa"/>
            <w:tcBorders>
              <w:tl2br w:val="nil"/>
              <w:tr2bl w:val="nil"/>
            </w:tcBorders>
          </w:tcPr>
          <w:p w14:paraId="746D22C7">
            <w:pPr>
              <w:spacing w:line="300" w:lineRule="auto"/>
              <w:ind w:firstLine="360" w:firstLineChars="200"/>
              <w:jc w:val="both"/>
              <w:rPr>
                <w:rFonts w:eastAsia="宋体"/>
                <w:sz w:val="18"/>
                <w:szCs w:val="18"/>
                <w:lang w:eastAsia="zh-CN"/>
              </w:rPr>
            </w:pPr>
            <w:r>
              <w:rPr>
                <w:rFonts w:hint="eastAsia" w:ascii="宋体" w:hAnsi="宋体" w:eastAsia="宋体" w:cs="宋体"/>
                <w:bCs/>
                <w:sz w:val="18"/>
                <w:szCs w:val="18"/>
                <w:lang w:eastAsia="zh-CN"/>
              </w:rPr>
              <w:t xml:space="preserve">□ </w:t>
            </w:r>
            <w:r>
              <w:rPr>
                <w:rFonts w:hint="eastAsia" w:eastAsia="宋体"/>
                <w:sz w:val="18"/>
                <w:szCs w:val="18"/>
                <w:lang w:eastAsia="zh-CN"/>
              </w:rPr>
              <w:t>该方案已经（或即将）在产品/系统中落地应用；</w:t>
            </w:r>
          </w:p>
          <w:p w14:paraId="1878556B">
            <w:pPr>
              <w:spacing w:line="300" w:lineRule="auto"/>
              <w:ind w:firstLine="360" w:firstLineChars="200"/>
              <w:jc w:val="both"/>
              <w:rPr>
                <w:rFonts w:eastAsia="宋体"/>
                <w:sz w:val="18"/>
                <w:szCs w:val="18"/>
                <w:lang w:eastAsia="zh-CN"/>
              </w:rPr>
            </w:pPr>
            <w:r>
              <w:rPr>
                <w:rFonts w:hint="eastAsia" w:ascii="宋体" w:hAnsi="宋体" w:eastAsia="宋体" w:cs="宋体"/>
                <w:bCs/>
                <w:sz w:val="18"/>
                <w:szCs w:val="18"/>
                <w:lang w:eastAsia="zh-CN"/>
              </w:rPr>
              <w:t xml:space="preserve">☑ </w:t>
            </w:r>
            <w:r>
              <w:rPr>
                <w:rFonts w:hint="eastAsia" w:eastAsia="宋体"/>
                <w:sz w:val="18"/>
                <w:szCs w:val="18"/>
                <w:lang w:eastAsia="zh-CN"/>
              </w:rPr>
              <w:t>属于技术研发成果，未应用到实际产品/系统中，若后续有落地计划将与知产法务更新进展；</w:t>
            </w:r>
          </w:p>
          <w:p w14:paraId="456EAAB0">
            <w:pPr>
              <w:spacing w:line="300" w:lineRule="auto"/>
              <w:ind w:firstLine="360" w:firstLineChars="200"/>
              <w:jc w:val="both"/>
              <w:rPr>
                <w:rFonts w:eastAsia="宋体"/>
                <w:sz w:val="18"/>
                <w:szCs w:val="18"/>
                <w:lang w:eastAsia="zh-CN"/>
              </w:rPr>
            </w:pPr>
            <w:r>
              <w:rPr>
                <w:rFonts w:hint="eastAsia" w:ascii="宋体" w:hAnsi="宋体" w:eastAsia="宋体" w:cs="宋体"/>
                <w:bCs/>
                <w:sz w:val="18"/>
                <w:szCs w:val="18"/>
                <w:lang w:eastAsia="zh-CN"/>
              </w:rPr>
              <w:t xml:space="preserve">□ </w:t>
            </w:r>
            <w:r>
              <w:rPr>
                <w:rFonts w:hint="eastAsia" w:eastAsia="宋体"/>
                <w:sz w:val="18"/>
                <w:szCs w:val="18"/>
                <w:lang w:eastAsia="zh-CN"/>
              </w:rPr>
              <w:t>不属于技术研发成果、不会应用到实际产品/系统。</w:t>
            </w:r>
          </w:p>
        </w:tc>
      </w:tr>
      <w:tr w14:paraId="66BD8A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2067DF33">
            <w:pPr>
              <w:spacing w:line="300" w:lineRule="auto"/>
              <w:jc w:val="center"/>
              <w:rPr>
                <w:rFonts w:eastAsia="宋体"/>
                <w:b/>
                <w:bCs/>
                <w:sz w:val="18"/>
                <w:szCs w:val="18"/>
                <w:lang w:eastAsia="zh-CN"/>
              </w:rPr>
            </w:pPr>
          </w:p>
        </w:tc>
        <w:tc>
          <w:tcPr>
            <w:tcW w:w="7350" w:type="dxa"/>
            <w:tcBorders>
              <w:tl2br w:val="nil"/>
              <w:tr2bl w:val="nil"/>
            </w:tcBorders>
            <w:shd w:val="clear" w:color="auto" w:fill="F1F1F1" w:themeFill="background1" w:themeFillShade="F2"/>
          </w:tcPr>
          <w:p w14:paraId="19A2EFB9">
            <w:pPr>
              <w:spacing w:line="300" w:lineRule="auto"/>
              <w:jc w:val="both"/>
              <w:rPr>
                <w:rFonts w:eastAsia="宋体"/>
                <w:sz w:val="18"/>
                <w:szCs w:val="18"/>
                <w:lang w:eastAsia="zh-CN"/>
              </w:rPr>
            </w:pPr>
            <w:r>
              <w:rPr>
                <w:rFonts w:hint="eastAsia" w:eastAsia="宋体"/>
                <w:b/>
                <w:bCs/>
                <w:sz w:val="18"/>
                <w:szCs w:val="18"/>
                <w:lang w:eastAsia="zh-CN"/>
              </w:rPr>
              <w:t>5.2 本发明是否已经或计划对外公开？</w:t>
            </w:r>
            <w:r>
              <w:rPr>
                <w:rFonts w:hint="eastAsia" w:eastAsia="宋体"/>
                <w:sz w:val="18"/>
                <w:szCs w:val="18"/>
                <w:lang w:eastAsia="zh-CN"/>
              </w:rPr>
              <w:t>（如果是，请说明公开渠道、公开或计划公开的时间；公开渠道可以是展会、技术宣讲、和供应商沟通、发表文章等）</w:t>
            </w:r>
          </w:p>
        </w:tc>
      </w:tr>
      <w:tr w14:paraId="056FD6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vMerge w:val="continue"/>
            <w:tcBorders>
              <w:tl2br w:val="nil"/>
              <w:tr2bl w:val="nil"/>
            </w:tcBorders>
          </w:tcPr>
          <w:p w14:paraId="587DCB7D">
            <w:pPr>
              <w:spacing w:line="300" w:lineRule="auto"/>
              <w:jc w:val="center"/>
              <w:rPr>
                <w:rFonts w:eastAsia="宋体"/>
                <w:b/>
                <w:bCs/>
                <w:sz w:val="18"/>
                <w:szCs w:val="18"/>
                <w:lang w:eastAsia="zh-CN"/>
              </w:rPr>
            </w:pPr>
          </w:p>
        </w:tc>
        <w:tc>
          <w:tcPr>
            <w:tcW w:w="7350" w:type="dxa"/>
            <w:tcBorders>
              <w:tl2br w:val="nil"/>
              <w:tr2bl w:val="nil"/>
            </w:tcBorders>
          </w:tcPr>
          <w:p w14:paraId="1D2D91F5">
            <w:pPr>
              <w:spacing w:line="300" w:lineRule="auto"/>
              <w:ind w:firstLine="360" w:firstLineChars="200"/>
              <w:jc w:val="both"/>
              <w:rPr>
                <w:rFonts w:eastAsia="宋体"/>
                <w:sz w:val="18"/>
                <w:szCs w:val="18"/>
                <w:lang w:eastAsia="zh-CN"/>
              </w:rPr>
            </w:pPr>
            <w:r>
              <w:rPr>
                <w:rFonts w:hint="eastAsia" w:eastAsia="宋体"/>
                <w:sz w:val="18"/>
                <w:szCs w:val="18"/>
                <w:lang w:eastAsia="zh-CN"/>
              </w:rPr>
              <w:t>暂无对外公开计划，仅限于内部使用。</w:t>
            </w:r>
          </w:p>
        </w:tc>
      </w:tr>
    </w:tbl>
    <w:p w14:paraId="4FA60012">
      <w:pPr>
        <w:spacing w:line="300" w:lineRule="auto"/>
        <w:jc w:val="both"/>
        <w:rPr>
          <w:rFonts w:eastAsia="宋体"/>
          <w:b/>
          <w:szCs w:val="15"/>
          <w:lang w:eastAsia="zh-CN"/>
        </w:rPr>
      </w:pPr>
    </w:p>
    <w:p w14:paraId="7A1617FA">
      <w:pPr>
        <w:ind w:firstLine="360" w:firstLineChars="200"/>
        <w:rPr>
          <w:b/>
          <w:bCs/>
          <w:color w:val="FFFFFF"/>
          <w:sz w:val="18"/>
          <w:szCs w:val="13"/>
          <w:lang w:eastAsia="zh-CN"/>
        </w:rPr>
      </w:pPr>
      <w:r>
        <w:rPr>
          <w:rFonts w:hint="eastAsia"/>
          <w:b/>
          <w:bCs/>
          <w:color w:val="FF0000"/>
          <w:sz w:val="18"/>
          <w:szCs w:val="13"/>
          <w:lang w:eastAsia="zh-CN"/>
        </w:rPr>
        <w:t>[技术交底书自查指引]</w:t>
      </w:r>
    </w:p>
    <w:p w14:paraId="7A737594">
      <w:pPr>
        <w:ind w:firstLine="360" w:firstLineChars="200"/>
        <w:rPr>
          <w:b/>
          <w:bCs/>
          <w:sz w:val="18"/>
          <w:szCs w:val="13"/>
          <w:lang w:eastAsia="zh-CN"/>
        </w:rPr>
      </w:pPr>
      <w:r>
        <w:rPr>
          <w:rFonts w:hint="eastAsia"/>
          <w:b/>
          <w:bCs/>
          <w:sz w:val="18"/>
          <w:szCs w:val="13"/>
          <w:lang w:eastAsia="zh-CN"/>
        </w:rPr>
        <w:t>1、准确：</w:t>
      </w:r>
    </w:p>
    <w:p w14:paraId="5104DC67">
      <w:pPr>
        <w:ind w:firstLine="360" w:firstLineChars="200"/>
        <w:rPr>
          <w:sz w:val="18"/>
          <w:szCs w:val="13"/>
          <w:lang w:eastAsia="zh-CN"/>
        </w:rPr>
      </w:pPr>
      <w:r>
        <w:rPr>
          <w:rFonts w:hint="eastAsia"/>
          <w:sz w:val="18"/>
          <w:szCs w:val="13"/>
          <w:lang w:eastAsia="zh-CN"/>
        </w:rPr>
        <w:t>1.1 为便于技术沟通，请确保</w:t>
      </w:r>
      <w:r>
        <w:rPr>
          <w:rFonts w:hint="eastAsia"/>
          <w:sz w:val="18"/>
          <w:szCs w:val="13"/>
          <w:u w:val="single"/>
          <w:lang w:eastAsia="zh-CN"/>
        </w:rPr>
        <w:t>联系电话和电子邮箱填写准确</w:t>
      </w:r>
      <w:r>
        <w:rPr>
          <w:rFonts w:hint="eastAsia"/>
          <w:sz w:val="18"/>
          <w:szCs w:val="13"/>
          <w:lang w:eastAsia="zh-CN"/>
        </w:rPr>
        <w:t>；</w:t>
      </w:r>
    </w:p>
    <w:p w14:paraId="5B0E4104">
      <w:pPr>
        <w:ind w:firstLine="360" w:firstLineChars="200"/>
        <w:rPr>
          <w:sz w:val="18"/>
          <w:szCs w:val="13"/>
          <w:lang w:eastAsia="zh-CN"/>
        </w:rPr>
      </w:pPr>
      <w:r>
        <w:rPr>
          <w:rFonts w:hint="eastAsia"/>
          <w:sz w:val="18"/>
          <w:szCs w:val="13"/>
          <w:lang w:eastAsia="zh-CN"/>
        </w:rPr>
        <w:t>1.2 为避免信息传达遗漏，技术联系人和知识产权系统的提案人应为同一人，</w:t>
      </w:r>
      <w:r>
        <w:rPr>
          <w:rFonts w:hint="eastAsia"/>
          <w:sz w:val="18"/>
          <w:szCs w:val="13"/>
          <w:u w:val="single"/>
          <w:lang w:eastAsia="zh-CN"/>
        </w:rPr>
        <w:t>请勿代为提交专利提案</w:t>
      </w:r>
      <w:r>
        <w:rPr>
          <w:rFonts w:hint="eastAsia"/>
          <w:sz w:val="18"/>
          <w:szCs w:val="13"/>
          <w:lang w:eastAsia="zh-CN"/>
        </w:rPr>
        <w:t>；</w:t>
      </w:r>
    </w:p>
    <w:p w14:paraId="197F1F15">
      <w:pPr>
        <w:ind w:firstLine="360" w:firstLineChars="200"/>
        <w:rPr>
          <w:sz w:val="18"/>
          <w:szCs w:val="13"/>
          <w:lang w:eastAsia="zh-CN"/>
        </w:rPr>
      </w:pPr>
      <w:r>
        <w:rPr>
          <w:rFonts w:hint="eastAsia"/>
          <w:sz w:val="18"/>
          <w:szCs w:val="13"/>
          <w:lang w:eastAsia="zh-CN"/>
        </w:rPr>
        <w:t>1.3 为防模板中的信息干扰，请</w:t>
      </w:r>
      <w:r>
        <w:rPr>
          <w:rFonts w:hint="eastAsia"/>
          <w:sz w:val="18"/>
          <w:szCs w:val="13"/>
          <w:u w:val="single"/>
          <w:lang w:eastAsia="zh-CN"/>
        </w:rPr>
        <w:t>删除交底书模板中的示例</w:t>
      </w:r>
      <w:r>
        <w:rPr>
          <w:rFonts w:hint="eastAsia"/>
          <w:sz w:val="18"/>
          <w:szCs w:val="13"/>
          <w:lang w:eastAsia="zh-CN"/>
        </w:rPr>
        <w:t>。</w:t>
      </w:r>
    </w:p>
    <w:p w14:paraId="285998B5">
      <w:pPr>
        <w:ind w:firstLine="360" w:firstLineChars="200"/>
        <w:rPr>
          <w:sz w:val="18"/>
          <w:szCs w:val="13"/>
          <w:lang w:eastAsia="zh-CN"/>
        </w:rPr>
      </w:pPr>
      <w:r>
        <w:rPr>
          <w:rFonts w:hint="eastAsia"/>
          <w:b/>
          <w:bCs/>
          <w:sz w:val="18"/>
          <w:szCs w:val="13"/>
          <w:lang w:eastAsia="zh-CN"/>
        </w:rPr>
        <w:t>2、全面</w:t>
      </w:r>
      <w:r>
        <w:rPr>
          <w:rFonts w:hint="eastAsia"/>
          <w:sz w:val="18"/>
          <w:szCs w:val="13"/>
          <w:lang w:eastAsia="zh-CN"/>
        </w:rPr>
        <w:t>：</w:t>
      </w:r>
    </w:p>
    <w:p w14:paraId="0D14E2CD">
      <w:pPr>
        <w:ind w:firstLine="360" w:firstLineChars="200"/>
        <w:rPr>
          <w:sz w:val="18"/>
          <w:szCs w:val="13"/>
          <w:lang w:eastAsia="zh-CN"/>
        </w:rPr>
      </w:pPr>
      <w:r>
        <w:rPr>
          <w:rFonts w:hint="eastAsia"/>
          <w:sz w:val="18"/>
          <w:szCs w:val="13"/>
          <w:lang w:eastAsia="zh-CN"/>
        </w:rPr>
        <w:t>2.1 为便于他人能够理解技术方案与实际产品之间的关联关系，请确保技术信息</w:t>
      </w:r>
      <w:r>
        <w:rPr>
          <w:rFonts w:hint="eastAsia"/>
          <w:sz w:val="18"/>
          <w:szCs w:val="13"/>
          <w:u w:val="single"/>
          <w:lang w:eastAsia="zh-CN"/>
        </w:rPr>
        <w:t>涵盖发明技术对应实际产品的介绍</w:t>
      </w:r>
      <w:r>
        <w:rPr>
          <w:rFonts w:hint="eastAsia"/>
          <w:sz w:val="18"/>
          <w:szCs w:val="13"/>
          <w:lang w:eastAsia="zh-CN"/>
        </w:rPr>
        <w:t>。</w:t>
      </w:r>
    </w:p>
    <w:p w14:paraId="6A2DCEE1">
      <w:pPr>
        <w:ind w:firstLine="360" w:firstLineChars="200"/>
        <w:rPr>
          <w:sz w:val="18"/>
          <w:szCs w:val="13"/>
          <w:lang w:eastAsia="zh-CN"/>
        </w:rPr>
      </w:pPr>
      <w:r>
        <w:rPr>
          <w:rFonts w:hint="eastAsia"/>
          <w:b/>
          <w:bCs/>
          <w:sz w:val="18"/>
          <w:szCs w:val="13"/>
          <w:lang w:eastAsia="zh-CN"/>
        </w:rPr>
        <w:t>3、清晰</w:t>
      </w:r>
      <w:r>
        <w:rPr>
          <w:rFonts w:hint="eastAsia"/>
          <w:sz w:val="18"/>
          <w:szCs w:val="13"/>
          <w:lang w:eastAsia="zh-CN"/>
        </w:rPr>
        <w:t>：</w:t>
      </w:r>
    </w:p>
    <w:p w14:paraId="2F45D112">
      <w:pPr>
        <w:ind w:firstLine="360" w:firstLineChars="200"/>
        <w:rPr>
          <w:sz w:val="18"/>
          <w:szCs w:val="13"/>
          <w:lang w:eastAsia="zh-CN"/>
        </w:rPr>
      </w:pPr>
      <w:r>
        <w:rPr>
          <w:rFonts w:hint="eastAsia"/>
          <w:sz w:val="18"/>
          <w:szCs w:val="13"/>
          <w:lang w:eastAsia="zh-CN"/>
        </w:rPr>
        <w:t>3.1 为避免他人理解错误，请确保</w:t>
      </w:r>
      <w:r>
        <w:rPr>
          <w:rFonts w:hint="eastAsia"/>
          <w:sz w:val="18"/>
          <w:szCs w:val="13"/>
          <w:u w:val="single"/>
          <w:lang w:eastAsia="zh-CN"/>
        </w:rPr>
        <w:t>技术方案通俗</w:t>
      </w:r>
      <w:r>
        <w:rPr>
          <w:sz w:val="18"/>
          <w:szCs w:val="13"/>
          <w:u w:val="single"/>
          <w:lang w:eastAsia="zh-CN"/>
        </w:rPr>
        <w:t>明了</w:t>
      </w:r>
      <w:r>
        <w:rPr>
          <w:rFonts w:hint="eastAsia"/>
          <w:sz w:val="18"/>
          <w:szCs w:val="13"/>
          <w:u w:val="single"/>
          <w:lang w:eastAsia="zh-CN"/>
        </w:rPr>
        <w:t>、专有名词定义清晰</w:t>
      </w:r>
      <w:r>
        <w:rPr>
          <w:rFonts w:hint="eastAsia"/>
          <w:sz w:val="18"/>
          <w:szCs w:val="13"/>
          <w:lang w:eastAsia="zh-CN"/>
        </w:rPr>
        <w:t>；具体有：方法流程图需体现数据流向和步骤顺序；同一对象的前后描述应保持统一，英文词汇需补充解释。</w:t>
      </w:r>
    </w:p>
    <w:p w14:paraId="00394EC0">
      <w:pPr>
        <w:ind w:firstLine="360" w:firstLineChars="200"/>
        <w:rPr>
          <w:sz w:val="18"/>
          <w:szCs w:val="13"/>
          <w:lang w:eastAsia="zh-CN"/>
        </w:rPr>
      </w:pPr>
      <w:r>
        <w:rPr>
          <w:rFonts w:hint="eastAsia"/>
          <w:b/>
          <w:bCs/>
          <w:sz w:val="18"/>
          <w:szCs w:val="13"/>
          <w:lang w:eastAsia="zh-CN"/>
        </w:rPr>
        <w:t>4、完整</w:t>
      </w:r>
      <w:r>
        <w:rPr>
          <w:rFonts w:hint="eastAsia"/>
          <w:sz w:val="18"/>
          <w:szCs w:val="13"/>
          <w:lang w:eastAsia="zh-CN"/>
        </w:rPr>
        <w:t>：</w:t>
      </w:r>
    </w:p>
    <w:p w14:paraId="16194C5C">
      <w:pPr>
        <w:ind w:firstLine="360" w:firstLineChars="200"/>
        <w:rPr>
          <w:sz w:val="18"/>
          <w:szCs w:val="13"/>
          <w:lang w:eastAsia="zh-CN"/>
        </w:rPr>
      </w:pPr>
      <w:r>
        <w:rPr>
          <w:rFonts w:hint="eastAsia"/>
          <w:sz w:val="18"/>
          <w:szCs w:val="13"/>
          <w:lang w:eastAsia="zh-CN"/>
        </w:rPr>
        <w:t>4.1 为确保技术方案充分公开，请提供足够的信息来</w:t>
      </w:r>
      <w:r>
        <w:rPr>
          <w:rFonts w:hint="eastAsia"/>
          <w:sz w:val="18"/>
          <w:szCs w:val="13"/>
          <w:u w:val="single"/>
          <w:lang w:eastAsia="zh-CN"/>
        </w:rPr>
        <w:t>完整披露发明技术，并使得他人能够实施该技术</w:t>
      </w:r>
      <w:r>
        <w:rPr>
          <w:rFonts w:hint="eastAsia"/>
          <w:sz w:val="18"/>
          <w:szCs w:val="13"/>
          <w:lang w:eastAsia="zh-CN"/>
        </w:rPr>
        <w:t>；</w:t>
      </w:r>
    </w:p>
    <w:p w14:paraId="18E1D4B4">
      <w:pPr>
        <w:ind w:firstLine="360" w:firstLineChars="200"/>
        <w:rPr>
          <w:sz w:val="18"/>
          <w:szCs w:val="13"/>
          <w:lang w:eastAsia="zh-CN"/>
        </w:rPr>
      </w:pPr>
      <w:r>
        <w:rPr>
          <w:rFonts w:hint="eastAsia"/>
          <w:sz w:val="18"/>
          <w:szCs w:val="13"/>
          <w:lang w:eastAsia="zh-CN"/>
        </w:rPr>
        <w:t>4.2 不确定是否属于技术秘密的部分可高亮/批注，并提示知识产权法务评估。</w:t>
      </w:r>
    </w:p>
    <w:p w14:paraId="5A55013C">
      <w:pPr>
        <w:spacing w:line="300" w:lineRule="auto"/>
        <w:jc w:val="both"/>
        <w:rPr>
          <w:rFonts w:eastAsia="宋体"/>
          <w:b/>
          <w:szCs w:val="15"/>
          <w:lang w:eastAsia="zh-CN"/>
        </w:rPr>
      </w:pPr>
    </w:p>
    <w:p w14:paraId="37DFF16A">
      <w:pPr>
        <w:spacing w:line="300" w:lineRule="auto"/>
        <w:jc w:val="both"/>
        <w:rPr>
          <w:rFonts w:eastAsia="宋体"/>
          <w:b/>
          <w:szCs w:val="15"/>
          <w:lang w:eastAsia="zh-CN"/>
        </w:rPr>
      </w:pPr>
    </w:p>
    <w:p w14:paraId="27B29126">
      <w:pPr>
        <w:spacing w:line="300" w:lineRule="auto"/>
        <w:jc w:val="both"/>
        <w:rPr>
          <w:rFonts w:eastAsia="宋体"/>
          <w:b/>
          <w:szCs w:val="15"/>
          <w:lang w:eastAsia="zh-CN"/>
        </w:rPr>
      </w:pPr>
    </w:p>
    <w:p w14:paraId="22C8EF50">
      <w:pPr>
        <w:spacing w:line="300" w:lineRule="auto"/>
        <w:jc w:val="both"/>
        <w:rPr>
          <w:rFonts w:eastAsia="宋体"/>
          <w:b/>
          <w:szCs w:val="15"/>
          <w:lang w:eastAsia="zh-CN"/>
        </w:rPr>
      </w:pPr>
    </w:p>
    <w:p w14:paraId="3D6C7F95">
      <w:pPr>
        <w:spacing w:line="300" w:lineRule="auto"/>
        <w:jc w:val="both"/>
        <w:rPr>
          <w:rFonts w:eastAsia="宋体"/>
          <w:b/>
          <w:szCs w:val="15"/>
          <w:lang w:eastAsia="zh-CN"/>
        </w:rPr>
      </w:pPr>
    </w:p>
    <w:p w14:paraId="1ADDA257">
      <w:pPr>
        <w:spacing w:line="300" w:lineRule="auto"/>
        <w:jc w:val="both"/>
        <w:rPr>
          <w:rFonts w:eastAsia="宋体"/>
          <w:b/>
          <w:szCs w:val="15"/>
          <w:lang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PMingLiU">
    <w:altName w:val="Microsoft JhengHei"/>
    <w:panose1 w:val="02010601000101010101"/>
    <w:charset w:val="88"/>
    <w:family w:val="roman"/>
    <w:pitch w:val="default"/>
    <w:sig w:usb0="00000000" w:usb1="00000000" w:usb2="00000016" w:usb3="00000000" w:csb0="00100001" w:csb1="00000000"/>
  </w:font>
  <w:font w:name="Calibri">
    <w:panose1 w:val="020F0502020204030204"/>
    <w:charset w:val="00"/>
    <w:family w:val="swiss"/>
    <w:pitch w:val="default"/>
    <w:sig w:usb0="E4002EFF" w:usb1="C0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4AEE4">
    <w:pPr>
      <w:pStyle w:val="5"/>
      <w:rPr>
        <w:rFonts w:eastAsia="黑体" w:cs="黑体" w:asciiTheme="minorHAnsi" w:hAnsiTheme="minorHAnsi"/>
        <w:szCs w:val="18"/>
      </w:rPr>
    </w:pPr>
    <w:r>
      <w:rPr>
        <w:rFonts w:eastAsia="黑体" w:cs="黑体" w:asciiTheme="minorHAnsi" w:hAnsiTheme="minorHAnsi"/>
        <w:color w:val="666666"/>
        <w:szCs w:val="18"/>
        <w:shd w:val="clear" w:color="auto" w:fill="FFFFFF"/>
      </w:rPr>
      <w:t>©S.F.</w:t>
    </w:r>
    <w:r>
      <w:rPr>
        <w:rFonts w:hint="eastAsia" w:eastAsia="黑体" w:cs="黑体" w:asciiTheme="minorHAnsi" w:hAnsiTheme="minorHAnsi"/>
        <w:color w:val="666666"/>
        <w:szCs w:val="18"/>
        <w:shd w:val="clear" w:color="auto" w:fill="FFFFFF"/>
        <w:lang w:eastAsia="zh-CN"/>
      </w:rPr>
      <w:t xml:space="preserve">                                                                               </w:t>
    </w:r>
    <w:r>
      <w:rPr>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5C869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1A5C8696">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黑体" w:cs="黑体" w:asciiTheme="minorHAnsi" w:hAnsiTheme="minorHAnsi"/>
        <w:color w:val="666666"/>
        <w:szCs w:val="18"/>
        <w:shd w:val="clear" w:color="auto" w:fill="FFFFFF"/>
        <w:lang w:eastAsia="zh-CN"/>
      </w:rPr>
      <w:t xml:space="preserve">                                                                               </w:t>
    </w:r>
  </w:p>
  <w:p w14:paraId="3A7A4149">
    <w:pPr>
      <w:pStyle w:val="5"/>
      <w:rPr>
        <w:rFonts w:eastAsia="黑体" w:cs="黑体" w:asciiTheme="minorHAnsi" w:hAnsiTheme="minorHAnsi"/>
        <w:b/>
        <w:bCs/>
        <w:szCs w:val="18"/>
      </w:rPr>
    </w:pPr>
    <w:r>
      <w:rPr>
        <w:rFonts w:hint="eastAsia" w:eastAsia="黑体" w:cs="黑体" w:asciiTheme="minorHAnsi" w:hAnsiTheme="minorHAnsi"/>
        <w:color w:val="666666"/>
        <w:szCs w:val="18"/>
        <w:shd w:val="clear" w:color="auto" w:fill="FFFFFF"/>
        <w:lang w:eastAsia="zh-CN"/>
      </w:rPr>
      <w:t xml:space="preserve">Confidential                                                                </w:t>
    </w:r>
    <w:r>
      <w:rPr>
        <w:rFonts w:hint="eastAsia" w:ascii="宋体" w:hAnsi="宋体" w:eastAsia="宋体" w:cs="宋体"/>
        <w:color w:val="666666"/>
        <w:szCs w:val="18"/>
        <w:shd w:val="clear" w:color="auto" w:fill="FFFFFF"/>
        <w:lang w:eastAsia="zh-CN"/>
      </w:rPr>
      <w:t xml:space="preserve"> 内部机密，严禁外传</w:t>
    </w:r>
    <w:r>
      <w:rPr>
        <w:rFonts w:hint="eastAsia" w:eastAsia="黑体" w:cs="黑体" w:asciiTheme="minorHAnsi" w:hAnsiTheme="minorHAnsi"/>
        <w:color w:val="666666"/>
        <w:szCs w:val="18"/>
        <w:shd w:val="clear" w:color="auto" w:fill="FFFFFF"/>
        <w:lang w:eastAsia="zh-CN"/>
      </w:rPr>
      <w:t xml:space="preserve">       </w:t>
    </w:r>
    <w:r>
      <w:rPr>
        <w:rFonts w:hint="eastAsia" w:eastAsia="黑体" w:cs="黑体" w:asciiTheme="minorHAnsi" w:hAnsiTheme="minorHAnsi"/>
        <w:b/>
        <w:bCs/>
        <w:color w:val="666666"/>
        <w:szCs w:val="18"/>
        <w:shd w:val="clear" w:color="auto" w:fill="FFFFFF"/>
        <w:lang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4C3A5">
    <w:pPr>
      <w:pStyle w:val="6"/>
      <w:rPr>
        <w:rFonts w:eastAsia="宋体"/>
        <w:lang w:eastAsia="zh-CN"/>
      </w:rPr>
    </w:pPr>
    <w:r>
      <w:drawing>
        <wp:anchor distT="0" distB="0" distL="114300" distR="114300" simplePos="0" relativeHeight="251660288" behindDoc="1" locked="0" layoutInCell="1" allowOverlap="1">
          <wp:simplePos x="0" y="0"/>
          <wp:positionH relativeFrom="margin">
            <wp:align>right</wp:align>
          </wp:positionH>
          <wp:positionV relativeFrom="margin">
            <wp:align>center</wp:align>
          </wp:positionV>
          <wp:extent cx="1157605" cy="1157605"/>
          <wp:effectExtent l="0" t="0" r="1270" b="1270"/>
          <wp:wrapNone/>
          <wp:docPr id="5" name="WordPictureWatermark41230" descr="Group 333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41230" descr="Group 33335198"/>
                  <pic:cNvPicPr>
                    <a:picLocks noChangeAspect="1"/>
                  </pic:cNvPicPr>
                </pic:nvPicPr>
                <pic:blipFill>
                  <a:blip r:embed="rId1">
                    <a:lum bright="69998" contrast="-70001"/>
                  </a:blip>
                  <a:stretch>
                    <a:fillRect/>
                  </a:stretch>
                </pic:blipFill>
                <pic:spPr>
                  <a:xfrm>
                    <a:off x="0" y="0"/>
                    <a:ext cx="1157605" cy="1157605"/>
                  </a:xfrm>
                  <a:prstGeom prst="rect">
                    <a:avLst/>
                  </a:prstGeom>
                  <a:noFill/>
                  <a:ln>
                    <a:noFill/>
                  </a:ln>
                </pic:spPr>
              </pic:pic>
            </a:graphicData>
          </a:graphic>
        </wp:anchor>
      </w:drawing>
    </w:r>
    <w:r>
      <w:rPr>
        <w:rFonts w:hint="eastAsia" w:eastAsia="宋体"/>
        <w:lang w:eastAsia="zh-CN"/>
      </w:rPr>
      <w:drawing>
        <wp:inline distT="0" distB="0" distL="114300" distR="114300">
          <wp:extent cx="768985" cy="271780"/>
          <wp:effectExtent l="0" t="0" r="5715" b="7620"/>
          <wp:docPr id="16" name="图片 16" descr="Group 3333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Group 33335983"/>
                  <pic:cNvPicPr>
                    <a:picLocks noChangeAspect="1"/>
                  </pic:cNvPicPr>
                </pic:nvPicPr>
                <pic:blipFill>
                  <a:blip r:embed="rId2"/>
                  <a:stretch>
                    <a:fillRect/>
                  </a:stretch>
                </pic:blipFill>
                <pic:spPr>
                  <a:xfrm>
                    <a:off x="0" y="0"/>
                    <a:ext cx="768985" cy="2717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xYTBmM2ExNDA5MTI5NmEwNjA4YTk5MmRmY2Y2MzgifQ=="/>
  </w:docVars>
  <w:rsids>
    <w:rsidRoot w:val="70844678"/>
    <w:rsid w:val="00022D8A"/>
    <w:rsid w:val="000451A0"/>
    <w:rsid w:val="00047FFC"/>
    <w:rsid w:val="00060AA0"/>
    <w:rsid w:val="00085A1C"/>
    <w:rsid w:val="000D0520"/>
    <w:rsid w:val="00106783"/>
    <w:rsid w:val="00107374"/>
    <w:rsid w:val="00217C6C"/>
    <w:rsid w:val="002839E5"/>
    <w:rsid w:val="00304CC8"/>
    <w:rsid w:val="003053F3"/>
    <w:rsid w:val="00315D3E"/>
    <w:rsid w:val="0032163C"/>
    <w:rsid w:val="00334EE0"/>
    <w:rsid w:val="00336E1F"/>
    <w:rsid w:val="00372CA6"/>
    <w:rsid w:val="00376286"/>
    <w:rsid w:val="003834CA"/>
    <w:rsid w:val="003F33E8"/>
    <w:rsid w:val="00435B0F"/>
    <w:rsid w:val="004636AD"/>
    <w:rsid w:val="004651C4"/>
    <w:rsid w:val="004907EE"/>
    <w:rsid w:val="00520DC8"/>
    <w:rsid w:val="005453B2"/>
    <w:rsid w:val="005A6BAE"/>
    <w:rsid w:val="005B3E3B"/>
    <w:rsid w:val="005C663B"/>
    <w:rsid w:val="005D06E8"/>
    <w:rsid w:val="00652F4F"/>
    <w:rsid w:val="006546D4"/>
    <w:rsid w:val="006940F8"/>
    <w:rsid w:val="00695E63"/>
    <w:rsid w:val="00791672"/>
    <w:rsid w:val="00896E7A"/>
    <w:rsid w:val="00990A1F"/>
    <w:rsid w:val="009953B3"/>
    <w:rsid w:val="009A6DC5"/>
    <w:rsid w:val="009F6DDC"/>
    <w:rsid w:val="00A04E5D"/>
    <w:rsid w:val="00A90E19"/>
    <w:rsid w:val="00AB09B4"/>
    <w:rsid w:val="00B161C9"/>
    <w:rsid w:val="00C171EC"/>
    <w:rsid w:val="00C7781D"/>
    <w:rsid w:val="00C85CBF"/>
    <w:rsid w:val="00D72E2D"/>
    <w:rsid w:val="00D75DC2"/>
    <w:rsid w:val="00D84998"/>
    <w:rsid w:val="00D9741E"/>
    <w:rsid w:val="00DD489C"/>
    <w:rsid w:val="00DF4E17"/>
    <w:rsid w:val="00DF7CF6"/>
    <w:rsid w:val="00E31105"/>
    <w:rsid w:val="00E319D4"/>
    <w:rsid w:val="00E46326"/>
    <w:rsid w:val="00E80FEA"/>
    <w:rsid w:val="00ED0894"/>
    <w:rsid w:val="00EE0616"/>
    <w:rsid w:val="00F071E3"/>
    <w:rsid w:val="01361C43"/>
    <w:rsid w:val="015E0F46"/>
    <w:rsid w:val="016F75D5"/>
    <w:rsid w:val="01E71A96"/>
    <w:rsid w:val="02A227A1"/>
    <w:rsid w:val="02BA326E"/>
    <w:rsid w:val="03352B8F"/>
    <w:rsid w:val="03A63E0F"/>
    <w:rsid w:val="03BE0A61"/>
    <w:rsid w:val="03C06834"/>
    <w:rsid w:val="03D37A53"/>
    <w:rsid w:val="03DE2D6B"/>
    <w:rsid w:val="03DE3CAC"/>
    <w:rsid w:val="054214C5"/>
    <w:rsid w:val="05F8708B"/>
    <w:rsid w:val="062375E9"/>
    <w:rsid w:val="0696055B"/>
    <w:rsid w:val="06B244F7"/>
    <w:rsid w:val="07B21E22"/>
    <w:rsid w:val="081361E2"/>
    <w:rsid w:val="085406AB"/>
    <w:rsid w:val="08D20E64"/>
    <w:rsid w:val="09132970"/>
    <w:rsid w:val="091971E0"/>
    <w:rsid w:val="09596E65"/>
    <w:rsid w:val="09623A05"/>
    <w:rsid w:val="09E65884"/>
    <w:rsid w:val="09F422DF"/>
    <w:rsid w:val="0A7E16FA"/>
    <w:rsid w:val="0A81257F"/>
    <w:rsid w:val="0A813965"/>
    <w:rsid w:val="0AD779FC"/>
    <w:rsid w:val="0B050BD2"/>
    <w:rsid w:val="0C1D1D0F"/>
    <w:rsid w:val="0C2B1E54"/>
    <w:rsid w:val="0C7717DB"/>
    <w:rsid w:val="0CEA1379"/>
    <w:rsid w:val="0E460966"/>
    <w:rsid w:val="0E540C3E"/>
    <w:rsid w:val="0E9E3DFB"/>
    <w:rsid w:val="0F0F241A"/>
    <w:rsid w:val="0F251AE4"/>
    <w:rsid w:val="0FA53FA9"/>
    <w:rsid w:val="0FA94B58"/>
    <w:rsid w:val="0FE771A7"/>
    <w:rsid w:val="1018065C"/>
    <w:rsid w:val="10B333EC"/>
    <w:rsid w:val="116214F8"/>
    <w:rsid w:val="116B5A59"/>
    <w:rsid w:val="11D648D0"/>
    <w:rsid w:val="11EE36D8"/>
    <w:rsid w:val="12F9558F"/>
    <w:rsid w:val="13300BFA"/>
    <w:rsid w:val="135673FF"/>
    <w:rsid w:val="13F7230F"/>
    <w:rsid w:val="15561757"/>
    <w:rsid w:val="1562158A"/>
    <w:rsid w:val="157312D0"/>
    <w:rsid w:val="160457F4"/>
    <w:rsid w:val="164534BC"/>
    <w:rsid w:val="16561E39"/>
    <w:rsid w:val="168322DC"/>
    <w:rsid w:val="16DA3DC4"/>
    <w:rsid w:val="172F7F28"/>
    <w:rsid w:val="17797A0F"/>
    <w:rsid w:val="17BA37ED"/>
    <w:rsid w:val="1882596C"/>
    <w:rsid w:val="18877865"/>
    <w:rsid w:val="198A6C84"/>
    <w:rsid w:val="19F4021A"/>
    <w:rsid w:val="1A045DC3"/>
    <w:rsid w:val="1A682661"/>
    <w:rsid w:val="1AFF6288"/>
    <w:rsid w:val="1B4A1648"/>
    <w:rsid w:val="1CE455DF"/>
    <w:rsid w:val="1CE66131"/>
    <w:rsid w:val="1CE819CC"/>
    <w:rsid w:val="1CEF7A17"/>
    <w:rsid w:val="1DA93A37"/>
    <w:rsid w:val="1DAD2426"/>
    <w:rsid w:val="1DCD1204"/>
    <w:rsid w:val="1DE06AC6"/>
    <w:rsid w:val="1E911675"/>
    <w:rsid w:val="1F131D33"/>
    <w:rsid w:val="1F180D08"/>
    <w:rsid w:val="1F69086A"/>
    <w:rsid w:val="1F774F0C"/>
    <w:rsid w:val="1FB62202"/>
    <w:rsid w:val="20150C7D"/>
    <w:rsid w:val="202832CD"/>
    <w:rsid w:val="21393D64"/>
    <w:rsid w:val="220442DE"/>
    <w:rsid w:val="22F870EC"/>
    <w:rsid w:val="231B0A1D"/>
    <w:rsid w:val="233A33D9"/>
    <w:rsid w:val="236436A2"/>
    <w:rsid w:val="23BD5871"/>
    <w:rsid w:val="23C77F49"/>
    <w:rsid w:val="2409119F"/>
    <w:rsid w:val="24321B94"/>
    <w:rsid w:val="24672B46"/>
    <w:rsid w:val="246F15A1"/>
    <w:rsid w:val="249E0AA2"/>
    <w:rsid w:val="24D34421"/>
    <w:rsid w:val="25053949"/>
    <w:rsid w:val="254727B0"/>
    <w:rsid w:val="25737633"/>
    <w:rsid w:val="25937C3D"/>
    <w:rsid w:val="282C05CF"/>
    <w:rsid w:val="283C7CE8"/>
    <w:rsid w:val="29B238F6"/>
    <w:rsid w:val="29D25510"/>
    <w:rsid w:val="2A3939B4"/>
    <w:rsid w:val="2A650FAB"/>
    <w:rsid w:val="2B2402DE"/>
    <w:rsid w:val="2B4741B9"/>
    <w:rsid w:val="2BEF4909"/>
    <w:rsid w:val="2C1A76C8"/>
    <w:rsid w:val="2C6A5C3F"/>
    <w:rsid w:val="2C6B5E1A"/>
    <w:rsid w:val="2C7E172C"/>
    <w:rsid w:val="2C877C54"/>
    <w:rsid w:val="2C983D35"/>
    <w:rsid w:val="2D481DFE"/>
    <w:rsid w:val="2D5B4F57"/>
    <w:rsid w:val="2D973E55"/>
    <w:rsid w:val="2DC618B9"/>
    <w:rsid w:val="2DFD0869"/>
    <w:rsid w:val="2E393E30"/>
    <w:rsid w:val="2EAA6654"/>
    <w:rsid w:val="2F6C28BA"/>
    <w:rsid w:val="2FDF3FA8"/>
    <w:rsid w:val="2FFE4164"/>
    <w:rsid w:val="30DB0887"/>
    <w:rsid w:val="315F185A"/>
    <w:rsid w:val="316D5F7A"/>
    <w:rsid w:val="324A618B"/>
    <w:rsid w:val="32D95551"/>
    <w:rsid w:val="335E04BC"/>
    <w:rsid w:val="336F3D37"/>
    <w:rsid w:val="347B7FE6"/>
    <w:rsid w:val="347F4EB0"/>
    <w:rsid w:val="34D13792"/>
    <w:rsid w:val="34E46695"/>
    <w:rsid w:val="350C4714"/>
    <w:rsid w:val="362B2414"/>
    <w:rsid w:val="363823A1"/>
    <w:rsid w:val="3702134C"/>
    <w:rsid w:val="37FFAD28"/>
    <w:rsid w:val="388F1FE4"/>
    <w:rsid w:val="38BC6B40"/>
    <w:rsid w:val="39474183"/>
    <w:rsid w:val="39700927"/>
    <w:rsid w:val="39787B56"/>
    <w:rsid w:val="39892072"/>
    <w:rsid w:val="399E7191"/>
    <w:rsid w:val="39B44138"/>
    <w:rsid w:val="39D571F4"/>
    <w:rsid w:val="39E06A07"/>
    <w:rsid w:val="39FF5C98"/>
    <w:rsid w:val="3A8F6EDD"/>
    <w:rsid w:val="3AE54963"/>
    <w:rsid w:val="3BE35F3A"/>
    <w:rsid w:val="3BF810D2"/>
    <w:rsid w:val="3C03187F"/>
    <w:rsid w:val="3C302635"/>
    <w:rsid w:val="3C70386E"/>
    <w:rsid w:val="3D4F202B"/>
    <w:rsid w:val="3E9A1989"/>
    <w:rsid w:val="3FB3156E"/>
    <w:rsid w:val="3FE3712C"/>
    <w:rsid w:val="3FE94089"/>
    <w:rsid w:val="3FEFCB6C"/>
    <w:rsid w:val="40440A07"/>
    <w:rsid w:val="40E23305"/>
    <w:rsid w:val="41104618"/>
    <w:rsid w:val="4128783B"/>
    <w:rsid w:val="41EB3AC2"/>
    <w:rsid w:val="420149A6"/>
    <w:rsid w:val="420D2AE6"/>
    <w:rsid w:val="42BD2E0C"/>
    <w:rsid w:val="4370650A"/>
    <w:rsid w:val="43814D2C"/>
    <w:rsid w:val="43C8430A"/>
    <w:rsid w:val="45401299"/>
    <w:rsid w:val="459724AE"/>
    <w:rsid w:val="45FD2F19"/>
    <w:rsid w:val="460A2027"/>
    <w:rsid w:val="461C3792"/>
    <w:rsid w:val="466926FB"/>
    <w:rsid w:val="46926640"/>
    <w:rsid w:val="46AE0B03"/>
    <w:rsid w:val="472268E1"/>
    <w:rsid w:val="4758493B"/>
    <w:rsid w:val="48341318"/>
    <w:rsid w:val="490E23EB"/>
    <w:rsid w:val="49161005"/>
    <w:rsid w:val="49A21679"/>
    <w:rsid w:val="4A6F4C2B"/>
    <w:rsid w:val="4AEC64BD"/>
    <w:rsid w:val="4B2A633A"/>
    <w:rsid w:val="4BB030C1"/>
    <w:rsid w:val="4BF86AA2"/>
    <w:rsid w:val="4C06571C"/>
    <w:rsid w:val="4C126664"/>
    <w:rsid w:val="4C7466D0"/>
    <w:rsid w:val="4C8A69D2"/>
    <w:rsid w:val="4C937380"/>
    <w:rsid w:val="4CDE4B2B"/>
    <w:rsid w:val="4CF57FB3"/>
    <w:rsid w:val="4CF91263"/>
    <w:rsid w:val="4D751D7C"/>
    <w:rsid w:val="4D997CE7"/>
    <w:rsid w:val="4DB965D9"/>
    <w:rsid w:val="4DCF3767"/>
    <w:rsid w:val="4E0721B9"/>
    <w:rsid w:val="4E5922C3"/>
    <w:rsid w:val="4E9800B3"/>
    <w:rsid w:val="4F107345"/>
    <w:rsid w:val="4F24778D"/>
    <w:rsid w:val="4F271E99"/>
    <w:rsid w:val="4F8E29B6"/>
    <w:rsid w:val="510C3BF3"/>
    <w:rsid w:val="51566E88"/>
    <w:rsid w:val="51A11B6E"/>
    <w:rsid w:val="51E91ED1"/>
    <w:rsid w:val="52812CE7"/>
    <w:rsid w:val="52DD0037"/>
    <w:rsid w:val="52DD6CFF"/>
    <w:rsid w:val="53840377"/>
    <w:rsid w:val="538A46AC"/>
    <w:rsid w:val="53BE5764"/>
    <w:rsid w:val="545079F4"/>
    <w:rsid w:val="54BE08C3"/>
    <w:rsid w:val="54E74793"/>
    <w:rsid w:val="5547639A"/>
    <w:rsid w:val="56B1A646"/>
    <w:rsid w:val="57B9186D"/>
    <w:rsid w:val="57FC6F86"/>
    <w:rsid w:val="58044A73"/>
    <w:rsid w:val="58073CB6"/>
    <w:rsid w:val="5863403A"/>
    <w:rsid w:val="58BE1A16"/>
    <w:rsid w:val="58E44167"/>
    <w:rsid w:val="59912F42"/>
    <w:rsid w:val="59D53D9C"/>
    <w:rsid w:val="5AAB5566"/>
    <w:rsid w:val="5AC16EF5"/>
    <w:rsid w:val="5B1A029B"/>
    <w:rsid w:val="5B3204AE"/>
    <w:rsid w:val="5BBC5C3D"/>
    <w:rsid w:val="5BEE5551"/>
    <w:rsid w:val="5BFE7816"/>
    <w:rsid w:val="5CF776ED"/>
    <w:rsid w:val="5D3A10B9"/>
    <w:rsid w:val="5D9E232C"/>
    <w:rsid w:val="5DFB7676"/>
    <w:rsid w:val="5E304E6E"/>
    <w:rsid w:val="5EFBDE38"/>
    <w:rsid w:val="5F551E92"/>
    <w:rsid w:val="5FEF67C7"/>
    <w:rsid w:val="600415EA"/>
    <w:rsid w:val="60531FA4"/>
    <w:rsid w:val="606647BC"/>
    <w:rsid w:val="60DE4728"/>
    <w:rsid w:val="615747CA"/>
    <w:rsid w:val="6190493F"/>
    <w:rsid w:val="61FC0A5B"/>
    <w:rsid w:val="627B04D1"/>
    <w:rsid w:val="62B9570F"/>
    <w:rsid w:val="632E691C"/>
    <w:rsid w:val="63693E49"/>
    <w:rsid w:val="63F238AE"/>
    <w:rsid w:val="640925BE"/>
    <w:rsid w:val="64310AD5"/>
    <w:rsid w:val="64775789"/>
    <w:rsid w:val="65B31BAC"/>
    <w:rsid w:val="663E67A5"/>
    <w:rsid w:val="665E22FF"/>
    <w:rsid w:val="670F79FA"/>
    <w:rsid w:val="677F4D59"/>
    <w:rsid w:val="6889531C"/>
    <w:rsid w:val="68A23729"/>
    <w:rsid w:val="69401F06"/>
    <w:rsid w:val="69445F7D"/>
    <w:rsid w:val="699F9E62"/>
    <w:rsid w:val="6A2276B6"/>
    <w:rsid w:val="6A81536D"/>
    <w:rsid w:val="6AE15E72"/>
    <w:rsid w:val="6AFB750F"/>
    <w:rsid w:val="6B1941E4"/>
    <w:rsid w:val="6BA919BE"/>
    <w:rsid w:val="6BAD59B1"/>
    <w:rsid w:val="6BEED2F1"/>
    <w:rsid w:val="6C1438E2"/>
    <w:rsid w:val="6CDE49E0"/>
    <w:rsid w:val="6D74148C"/>
    <w:rsid w:val="6DA70840"/>
    <w:rsid w:val="6DF80EEB"/>
    <w:rsid w:val="6E004F03"/>
    <w:rsid w:val="6E8A07BF"/>
    <w:rsid w:val="6E9C61C8"/>
    <w:rsid w:val="6EB05EBC"/>
    <w:rsid w:val="6EB770A0"/>
    <w:rsid w:val="6F47651F"/>
    <w:rsid w:val="6F7A7580"/>
    <w:rsid w:val="6FA10D6E"/>
    <w:rsid w:val="6FC24C1E"/>
    <w:rsid w:val="6FF741D2"/>
    <w:rsid w:val="6FF7D1D5"/>
    <w:rsid w:val="70844678"/>
    <w:rsid w:val="70A80A72"/>
    <w:rsid w:val="71769751"/>
    <w:rsid w:val="71DB2D9F"/>
    <w:rsid w:val="71EA3D3D"/>
    <w:rsid w:val="71F85CF5"/>
    <w:rsid w:val="72DF8599"/>
    <w:rsid w:val="738121A3"/>
    <w:rsid w:val="74D7747F"/>
    <w:rsid w:val="74FF2D3A"/>
    <w:rsid w:val="75047881"/>
    <w:rsid w:val="754EAC66"/>
    <w:rsid w:val="75D323FB"/>
    <w:rsid w:val="75EF608F"/>
    <w:rsid w:val="761731BF"/>
    <w:rsid w:val="769C74EF"/>
    <w:rsid w:val="76A66EA8"/>
    <w:rsid w:val="76E1435F"/>
    <w:rsid w:val="76E93A67"/>
    <w:rsid w:val="770A07FC"/>
    <w:rsid w:val="770C59CA"/>
    <w:rsid w:val="77562BBC"/>
    <w:rsid w:val="7777DF93"/>
    <w:rsid w:val="77D5620D"/>
    <w:rsid w:val="7807238B"/>
    <w:rsid w:val="78704AD0"/>
    <w:rsid w:val="78AD6A08"/>
    <w:rsid w:val="794A1A32"/>
    <w:rsid w:val="79C5669A"/>
    <w:rsid w:val="7A0E2B63"/>
    <w:rsid w:val="7B5D6060"/>
    <w:rsid w:val="7B7FC133"/>
    <w:rsid w:val="7BD52290"/>
    <w:rsid w:val="7C4371FA"/>
    <w:rsid w:val="7C5DF015"/>
    <w:rsid w:val="7CBCF322"/>
    <w:rsid w:val="7D845FFF"/>
    <w:rsid w:val="7D97ACEE"/>
    <w:rsid w:val="7DFFE17E"/>
    <w:rsid w:val="7E01736D"/>
    <w:rsid w:val="7E940FE5"/>
    <w:rsid w:val="7E94372C"/>
    <w:rsid w:val="7ED32576"/>
    <w:rsid w:val="7F0803AB"/>
    <w:rsid w:val="7F27C020"/>
    <w:rsid w:val="7F7B2660"/>
    <w:rsid w:val="7FA827CE"/>
    <w:rsid w:val="7FBC4CEC"/>
    <w:rsid w:val="7FBCD3BC"/>
    <w:rsid w:val="7FDD58B7"/>
    <w:rsid w:val="7FEAD585"/>
    <w:rsid w:val="7FEFAC85"/>
    <w:rsid w:val="7FFBA8AA"/>
    <w:rsid w:val="7FFBF113"/>
    <w:rsid w:val="7FFD872B"/>
    <w:rsid w:val="9B7BD032"/>
    <w:rsid w:val="9FEFC2E6"/>
    <w:rsid w:val="A9E964B5"/>
    <w:rsid w:val="B17764EF"/>
    <w:rsid w:val="B1C44C08"/>
    <w:rsid w:val="B5F56688"/>
    <w:rsid w:val="B9F9E876"/>
    <w:rsid w:val="BDECBFC7"/>
    <w:rsid w:val="BECFA62C"/>
    <w:rsid w:val="BFF50E25"/>
    <w:rsid w:val="C5F37387"/>
    <w:rsid w:val="CAFFCA4E"/>
    <w:rsid w:val="CFFA6858"/>
    <w:rsid w:val="D57ED3CB"/>
    <w:rsid w:val="D7FFC788"/>
    <w:rsid w:val="D9FF8726"/>
    <w:rsid w:val="DCDD6836"/>
    <w:rsid w:val="DEBBBCFA"/>
    <w:rsid w:val="DF3C4D1C"/>
    <w:rsid w:val="DFB5A1CA"/>
    <w:rsid w:val="DFB94F36"/>
    <w:rsid w:val="E5BDA2B8"/>
    <w:rsid w:val="EFFE9254"/>
    <w:rsid w:val="F2DF8CF0"/>
    <w:rsid w:val="F4FDE54A"/>
    <w:rsid w:val="F5F6ADBE"/>
    <w:rsid w:val="F76F0ED1"/>
    <w:rsid w:val="F7AE7460"/>
    <w:rsid w:val="F7BE22AD"/>
    <w:rsid w:val="F7FBBC0F"/>
    <w:rsid w:val="FBFF434D"/>
    <w:rsid w:val="FCAF8A84"/>
    <w:rsid w:val="FCD78A9B"/>
    <w:rsid w:val="FD8E80C6"/>
    <w:rsid w:val="FDDF6448"/>
    <w:rsid w:val="FE7BD87F"/>
    <w:rsid w:val="FEF806BE"/>
    <w:rsid w:val="FEFF1321"/>
    <w:rsid w:val="FF37C2EF"/>
    <w:rsid w:val="FF7AAE2F"/>
    <w:rsid w:val="FFBF1134"/>
    <w:rsid w:val="FFE4E762"/>
    <w:rsid w:val="FFECC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PMingLiU" w:cs="Times New Roman"/>
      <w:kern w:val="2"/>
      <w:sz w:val="24"/>
      <w:lang w:val="en-US" w:eastAsia="zh-TW" w:bidi="ar-SA"/>
    </w:rPr>
  </w:style>
  <w:style w:type="paragraph" w:styleId="2">
    <w:name w:val="heading 3"/>
    <w:basedOn w:val="1"/>
    <w:next w:val="1"/>
    <w:semiHidden/>
    <w:unhideWhenUsed/>
    <w:qFormat/>
    <w:uiPriority w:val="0"/>
    <w:pPr>
      <w:spacing w:beforeAutospacing="1" w:afterAutospacing="1"/>
      <w:outlineLvl w:val="2"/>
    </w:pPr>
    <w:rPr>
      <w:rFonts w:hint="eastAsia" w:ascii="宋体" w:hAnsi="宋体" w:eastAsia="宋体"/>
      <w:b/>
      <w:bCs/>
      <w:kern w:val="0"/>
      <w:sz w:val="27"/>
      <w:szCs w:val="27"/>
      <w:lang w:eastAsia="zh-CN"/>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style>
  <w:style w:type="paragraph" w:styleId="4">
    <w:name w:val="Body Text Indent"/>
    <w:basedOn w:val="1"/>
    <w:qFormat/>
    <w:uiPriority w:val="0"/>
    <w:pPr>
      <w:ind w:left="360" w:firstLine="538"/>
    </w:pPr>
    <w:rPr>
      <w:spacing w:val="20"/>
      <w:sz w:val="22"/>
    </w:rPr>
  </w:style>
  <w:style w:type="paragraph" w:styleId="5">
    <w:name w:val="footer"/>
    <w:basedOn w:val="1"/>
    <w:qFormat/>
    <w:uiPriority w:val="0"/>
    <w:pPr>
      <w:tabs>
        <w:tab w:val="center" w:pos="4153"/>
        <w:tab w:val="right" w:pos="8306"/>
      </w:tabs>
      <w:snapToGrid w:val="0"/>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kern w:val="0"/>
      <w:szCs w:val="24"/>
      <w:lang w:eastAsia="zh-CN"/>
    </w:rPr>
  </w:style>
  <w:style w:type="paragraph" w:styleId="8">
    <w:name w:val="Normal (Web)"/>
    <w:basedOn w:val="1"/>
    <w:qFormat/>
    <w:uiPriority w:val="0"/>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styleId="13">
    <w:name w:val="annotation reference"/>
    <w:semiHidden/>
    <w:qFormat/>
    <w:uiPriority w:val="99"/>
    <w:rPr>
      <w:sz w:val="21"/>
      <w:szCs w:val="21"/>
    </w:rPr>
  </w:style>
  <w:style w:type="paragraph" w:styleId="14">
    <w:name w:val="List Paragraph"/>
    <w:basedOn w:val="1"/>
    <w:qFormat/>
    <w:uiPriority w:val="34"/>
    <w:pPr>
      <w:widowControl/>
      <w:spacing w:after="200" w:line="276" w:lineRule="auto"/>
      <w:ind w:left="720"/>
      <w:contextualSpacing/>
    </w:pPr>
    <w:rPr>
      <w:kern w:val="0"/>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2399</Words>
  <Characters>2517</Characters>
  <Lines>18</Lines>
  <Paragraphs>5</Paragraphs>
  <TotalTime>10</TotalTime>
  <ScaleCrop>false</ScaleCrop>
  <LinksUpToDate>false</LinksUpToDate>
  <CharactersWithSpaces>2538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2023-10-17T03:01:00Z</dcterms:created>
  <dc:creator>邹靖煜</dc:creator>
  <cp:lastModifiedBy>莫</cp:lastModifiedBy>
  <dcterms:modified xsi:type="dcterms:W3CDTF">2024-09-29T09:54:29Z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833FB2D5CE024C97808A0EC30FB30685</vt:lpwstr>
  </property>
</Properties>
</file>